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课题指南：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重点课题：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(1) 地方大学一流战略规划与学科建设研究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(2) 地方大学拔尖创新人才培养研究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(3) 地方大学产教融合科教融汇与产业学院建设研究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(4) 地方大学数字化教育变革与人才培养实践研究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重大课题：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(1) 地方大学服务区域发展效能评价机制研究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(2) 地方大学高水平特色型建设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理念与实践研究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(3) 建强地方应用型本科高校实施路径研究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WQwYzU4YzE5OTRiM2U2MTQ0Yzg4M2RkNDYxMjQifQ=="/>
  </w:docVars>
  <w:rsids>
    <w:rsidRoot w:val="0E8C7E77"/>
    <w:rsid w:val="0E8C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2024-06-04T07:23:00Z</dcterms:created>
  <dc:creator>啊啊啊羊阿羊</dc:creator>
  <cp:lastModifiedBy>啊啊啊羊阿羊</cp:lastModifiedBy>
  <dcterms:modified xsi:type="dcterms:W3CDTF">2024-06-04T07:23:59Z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29D268912B274CCBB208C49AF0EA9544_11</vt:lpwstr>
  </property>
</Properties>
</file>