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210F3">
      <w:pPr>
        <w:snapToGrid w:val="0"/>
        <w:spacing w:before="60" w:after="60" w:line="560" w:lineRule="exact"/>
        <w:jc w:val="center"/>
        <w:rPr>
          <w:rFonts w:hint="eastAsia" w:ascii="黑体" w:hAnsi="黑体" w:eastAsia="黑体" w:cs="Times New Roman"/>
          <w:color w:val="333333"/>
          <w:sz w:val="44"/>
          <w:szCs w:val="44"/>
          <w:lang w:val="en-US" w:eastAsia="zh-CN"/>
        </w:rPr>
      </w:pPr>
      <w:r>
        <w:rPr>
          <w:rFonts w:hint="eastAsia" w:ascii="黑体" w:hAnsi="黑体" w:eastAsia="黑体" w:cs="Times New Roman"/>
          <w:color w:val="333333"/>
          <w:sz w:val="44"/>
          <w:szCs w:val="44"/>
          <w:lang w:val="en-US" w:eastAsia="zh-CN"/>
        </w:rPr>
        <w:t>数据集合规自评估报告</w:t>
      </w:r>
    </w:p>
    <w:p w14:paraId="20A9EC13">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重要提示：</w:t>
      </w:r>
    </w:p>
    <w:p w14:paraId="03FC0D95">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1.为了促进数据要素合规流通请针对主体及数据集内容进行本次自评估，评估内容将作为苏州高质量数据集评审依据之一；</w:t>
      </w:r>
    </w:p>
    <w:p w14:paraId="767FED9B">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2.本次自评估报告涉及问题与内容需如实填写，填写内容围绕本次提供的数据集展开，内容的真实性和完整性将直接关系到本次合规服务的有效性；</w:t>
      </w:r>
    </w:p>
    <w:p w14:paraId="15F0F995">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3.“自评估说明”一栏若需另附文档说明的则将文档附在本报告后，“提供材料”一栏应当写明提供材料的序号及名称，“证明文件指引”为示例文件，请根据情况增加补充；</w:t>
      </w:r>
    </w:p>
    <w:p w14:paraId="393C1210">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4.本自评估报告应由熟悉数据合规情况的相关人员填写，填写过程中如存在不清晰或有其他建议，请联系我局；</w:t>
      </w:r>
    </w:p>
    <w:p w14:paraId="482948E6">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5.评估所提交的佐证材料包括但不限于“证明文件指引”所提示的内容，各单位还可以根据各自情况予以补充；</w:t>
      </w:r>
    </w:p>
    <w:p w14:paraId="53FA00FC">
      <w:pPr>
        <w:snapToGrid w:val="0"/>
        <w:spacing w:before="60" w:after="60" w:line="560" w:lineRule="exact"/>
        <w:jc w:val="both"/>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6.本自评估报告需填写完成后，与提交的佐证材料一并装订成册，编制目录并盖骑缝章。</w:t>
      </w:r>
    </w:p>
    <w:p w14:paraId="40060238">
      <w:pPr>
        <w:snapToGrid w:val="0"/>
        <w:spacing w:before="60" w:after="60" w:line="560" w:lineRule="exact"/>
        <w:jc w:val="both"/>
        <w:rPr>
          <w:rFonts w:hint="eastAsia" w:ascii="黑体" w:hAnsi="黑体" w:eastAsia="黑体" w:cs="Times New Roman"/>
          <w:color w:val="333333"/>
          <w:sz w:val="28"/>
          <w:szCs w:val="28"/>
          <w:lang w:val="en-US" w:eastAsia="zh-CN"/>
        </w:rPr>
      </w:pPr>
    </w:p>
    <w:p w14:paraId="71D76244">
      <w:pPr>
        <w:snapToGrid w:val="0"/>
        <w:spacing w:before="60" w:after="60" w:line="560" w:lineRule="exact"/>
        <w:jc w:val="both"/>
        <w:rPr>
          <w:rFonts w:hint="eastAsia" w:ascii="黑体" w:hAnsi="黑体" w:eastAsia="黑体" w:cs="Times New Roman"/>
          <w:color w:val="333333"/>
          <w:sz w:val="28"/>
          <w:szCs w:val="28"/>
          <w:lang w:val="en-US" w:eastAsia="zh-CN"/>
        </w:rPr>
      </w:pPr>
    </w:p>
    <w:p w14:paraId="0FA91654">
      <w:pPr>
        <w:snapToGrid w:val="0"/>
        <w:spacing w:before="60" w:after="60" w:line="560" w:lineRule="exact"/>
        <w:jc w:val="both"/>
        <w:rPr>
          <w:rFonts w:hint="eastAsia" w:ascii="黑体" w:hAnsi="黑体" w:eastAsia="黑体" w:cs="黑体"/>
          <w:color w:val="333333"/>
          <w:sz w:val="28"/>
          <w:szCs w:val="28"/>
          <w:lang w:val="en-US" w:eastAsia="zh-CN"/>
        </w:rPr>
      </w:pPr>
      <w:r>
        <w:rPr>
          <w:rFonts w:hint="eastAsia" w:ascii="黑体" w:hAnsi="黑体" w:eastAsia="黑体" w:cs="黑体"/>
          <w:color w:val="333333"/>
          <w:sz w:val="28"/>
          <w:szCs w:val="28"/>
          <w:lang w:val="en-US" w:eastAsia="zh-CN"/>
        </w:rPr>
        <w:t>数据集信息概况说明（请按照产品实际情况填写，填写内容应当与数据集说明书保持一致）</w:t>
      </w:r>
    </w:p>
    <w:p w14:paraId="02321FC7">
      <w:pPr>
        <w:snapToGrid w:val="0"/>
        <w:spacing w:before="60" w:after="60" w:line="560" w:lineRule="exact"/>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数据集名称：【            】</w:t>
      </w:r>
    </w:p>
    <w:p w14:paraId="79F16D03">
      <w:pPr>
        <w:snapToGrid w:val="0"/>
        <w:spacing w:before="60" w:after="60" w:line="560" w:lineRule="exact"/>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数据集持有者：【            】</w:t>
      </w:r>
    </w:p>
    <w:p w14:paraId="4241CCB1">
      <w:pPr>
        <w:snapToGrid w:val="0"/>
        <w:spacing w:before="60" w:after="60" w:line="560" w:lineRule="exact"/>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数据集介绍：【            】</w:t>
      </w:r>
    </w:p>
    <w:p w14:paraId="4B5B2146">
      <w:pPr>
        <w:snapToGrid w:val="0"/>
        <w:spacing w:before="60" w:after="60" w:line="560" w:lineRule="exact"/>
        <w:jc w:val="both"/>
        <w:rPr>
          <w:rFonts w:hint="default" w:ascii="黑体" w:hAnsi="黑体" w:eastAsia="黑体" w:cs="Times New Roman"/>
          <w:color w:val="333333"/>
          <w:sz w:val="28"/>
          <w:szCs w:val="28"/>
          <w:lang w:val="en-US" w:eastAsia="zh-CN"/>
        </w:rPr>
      </w:pPr>
    </w:p>
    <w:tbl>
      <w:tblPr>
        <w:tblStyle w:val="6"/>
        <w:tblW w:w="14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4161"/>
        <w:gridCol w:w="3288"/>
        <w:gridCol w:w="2018"/>
        <w:gridCol w:w="2190"/>
        <w:gridCol w:w="1363"/>
      </w:tblGrid>
      <w:tr w14:paraId="17A4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9" w:type="dxa"/>
            <w:shd w:val="clear" w:color="auto" w:fill="A4A4A4" w:themeFill="background1" w:themeFillShade="A5"/>
          </w:tcPr>
          <w:p w14:paraId="374B2CF9">
            <w:pPr>
              <w:numPr>
                <w:ilvl w:val="-1"/>
                <w:numId w:val="0"/>
              </w:numPr>
              <w:snapToGrid w:val="0"/>
              <w:spacing w:before="60" w:after="60" w:line="560" w:lineRule="exact"/>
              <w:jc w:val="center"/>
              <w:rPr>
                <w:rFonts w:hint="eastAsia" w:ascii="仿宋" w:hAnsi="仿宋" w:eastAsia="仿宋" w:cs="仿宋"/>
                <w:b/>
                <w:bCs/>
                <w:color w:val="333333"/>
                <w:sz w:val="28"/>
                <w:szCs w:val="28"/>
                <w:highlight w:val="none"/>
                <w:vertAlign w:val="baseline"/>
                <w:lang w:val="en-US" w:eastAsia="zh-CN"/>
              </w:rPr>
            </w:pPr>
            <w:r>
              <w:rPr>
                <w:rFonts w:hint="eastAsia" w:ascii="仿宋" w:hAnsi="仿宋" w:eastAsia="仿宋" w:cs="仿宋"/>
                <w:b/>
                <w:bCs/>
                <w:color w:val="333333"/>
                <w:sz w:val="28"/>
                <w:szCs w:val="28"/>
                <w:highlight w:val="none"/>
                <w:vertAlign w:val="baseline"/>
                <w:lang w:val="en-US" w:eastAsia="zh-CN"/>
              </w:rPr>
              <w:t>评估事项</w:t>
            </w:r>
          </w:p>
        </w:tc>
        <w:tc>
          <w:tcPr>
            <w:tcW w:w="4161" w:type="dxa"/>
            <w:shd w:val="clear" w:color="auto" w:fill="A4A4A4" w:themeFill="background1" w:themeFillShade="A5"/>
          </w:tcPr>
          <w:p w14:paraId="4EC50328">
            <w:pPr>
              <w:numPr>
                <w:ilvl w:val="-1"/>
                <w:numId w:val="0"/>
              </w:numPr>
              <w:snapToGrid w:val="0"/>
              <w:spacing w:before="60" w:after="60" w:line="560" w:lineRule="exact"/>
              <w:jc w:val="center"/>
              <w:rPr>
                <w:rFonts w:hint="eastAsia" w:ascii="仿宋" w:hAnsi="仿宋" w:eastAsia="仿宋" w:cs="仿宋"/>
                <w:b/>
                <w:bCs/>
                <w:color w:val="333333"/>
                <w:sz w:val="28"/>
                <w:szCs w:val="28"/>
                <w:highlight w:val="none"/>
                <w:vertAlign w:val="baseline"/>
                <w:lang w:val="en-US" w:eastAsia="zh-CN"/>
              </w:rPr>
            </w:pPr>
            <w:r>
              <w:rPr>
                <w:rFonts w:hint="eastAsia" w:ascii="仿宋" w:hAnsi="仿宋" w:eastAsia="仿宋" w:cs="仿宋"/>
                <w:b/>
                <w:bCs/>
                <w:color w:val="333333"/>
                <w:sz w:val="28"/>
                <w:szCs w:val="28"/>
                <w:highlight w:val="none"/>
                <w:vertAlign w:val="baseline"/>
                <w:lang w:val="en-US" w:eastAsia="zh-CN"/>
              </w:rPr>
              <w:t>评估内容</w:t>
            </w:r>
          </w:p>
        </w:tc>
        <w:tc>
          <w:tcPr>
            <w:tcW w:w="3288" w:type="dxa"/>
            <w:shd w:val="clear" w:color="auto" w:fill="A4A4A4" w:themeFill="background1" w:themeFillShade="A5"/>
          </w:tcPr>
          <w:p w14:paraId="54BB9243">
            <w:pPr>
              <w:numPr>
                <w:ilvl w:val="-1"/>
                <w:numId w:val="0"/>
              </w:numPr>
              <w:snapToGrid w:val="0"/>
              <w:spacing w:before="60" w:after="60" w:line="560" w:lineRule="exact"/>
              <w:jc w:val="center"/>
              <w:rPr>
                <w:rFonts w:hint="default" w:ascii="仿宋" w:hAnsi="仿宋" w:eastAsia="仿宋" w:cs="仿宋"/>
                <w:b/>
                <w:bCs/>
                <w:color w:val="333333"/>
                <w:sz w:val="28"/>
                <w:szCs w:val="28"/>
                <w:highlight w:val="none"/>
                <w:vertAlign w:val="baseline"/>
                <w:lang w:val="en-US" w:eastAsia="zh-CN"/>
              </w:rPr>
            </w:pPr>
            <w:r>
              <w:rPr>
                <w:rFonts w:hint="eastAsia" w:ascii="仿宋" w:hAnsi="仿宋" w:eastAsia="仿宋" w:cs="仿宋"/>
                <w:b/>
                <w:bCs/>
                <w:color w:val="333333"/>
                <w:sz w:val="28"/>
                <w:szCs w:val="28"/>
                <w:highlight w:val="none"/>
                <w:vertAlign w:val="baseline"/>
                <w:lang w:val="en-US" w:eastAsia="zh-CN"/>
              </w:rPr>
              <w:t>自评估说明</w:t>
            </w:r>
          </w:p>
        </w:tc>
        <w:tc>
          <w:tcPr>
            <w:tcW w:w="2018" w:type="dxa"/>
            <w:shd w:val="clear" w:color="auto" w:fill="A4A4A4" w:themeFill="background1" w:themeFillShade="A5"/>
          </w:tcPr>
          <w:p w14:paraId="16893A8E">
            <w:pPr>
              <w:numPr>
                <w:ilvl w:val="-1"/>
                <w:numId w:val="0"/>
              </w:numPr>
              <w:snapToGrid w:val="0"/>
              <w:spacing w:before="60" w:after="60" w:line="560" w:lineRule="exact"/>
              <w:jc w:val="center"/>
              <w:rPr>
                <w:rFonts w:hint="eastAsia" w:ascii="仿宋" w:hAnsi="仿宋" w:eastAsia="仿宋" w:cs="仿宋"/>
                <w:b/>
                <w:bCs/>
                <w:color w:val="333333"/>
                <w:sz w:val="28"/>
                <w:szCs w:val="28"/>
                <w:highlight w:val="none"/>
                <w:vertAlign w:val="baseline"/>
                <w:lang w:val="en-US" w:eastAsia="zh-CN"/>
              </w:rPr>
            </w:pPr>
            <w:r>
              <w:rPr>
                <w:rFonts w:hint="eastAsia" w:ascii="仿宋" w:hAnsi="仿宋" w:eastAsia="仿宋" w:cs="仿宋"/>
                <w:b/>
                <w:bCs/>
                <w:color w:val="333333"/>
                <w:sz w:val="28"/>
                <w:szCs w:val="28"/>
                <w:highlight w:val="none"/>
                <w:vertAlign w:val="baseline"/>
                <w:lang w:val="en-US" w:eastAsia="zh-CN"/>
              </w:rPr>
              <w:t>证明文件指引</w:t>
            </w:r>
          </w:p>
        </w:tc>
        <w:tc>
          <w:tcPr>
            <w:tcW w:w="2190" w:type="dxa"/>
            <w:shd w:val="clear" w:color="auto" w:fill="A4A4A4" w:themeFill="background1" w:themeFillShade="A5"/>
          </w:tcPr>
          <w:p w14:paraId="2464E218">
            <w:pPr>
              <w:numPr>
                <w:ilvl w:val="-1"/>
                <w:numId w:val="0"/>
              </w:numPr>
              <w:snapToGrid w:val="0"/>
              <w:spacing w:before="60" w:after="60" w:line="560" w:lineRule="exact"/>
              <w:jc w:val="center"/>
              <w:rPr>
                <w:rFonts w:hint="eastAsia" w:ascii="仿宋" w:hAnsi="仿宋" w:eastAsia="仿宋" w:cs="仿宋"/>
                <w:b/>
                <w:bCs/>
                <w:color w:val="333333"/>
                <w:sz w:val="28"/>
                <w:szCs w:val="28"/>
                <w:highlight w:val="none"/>
                <w:vertAlign w:val="baseline"/>
                <w:lang w:val="en-US" w:eastAsia="zh-CN"/>
              </w:rPr>
            </w:pPr>
            <w:r>
              <w:rPr>
                <w:rFonts w:hint="eastAsia" w:ascii="仿宋" w:hAnsi="仿宋" w:eastAsia="仿宋" w:cs="仿宋"/>
                <w:b/>
                <w:bCs/>
                <w:color w:val="333333"/>
                <w:sz w:val="28"/>
                <w:szCs w:val="28"/>
                <w:highlight w:val="none"/>
                <w:vertAlign w:val="baseline"/>
                <w:lang w:val="en-US" w:eastAsia="zh-CN"/>
              </w:rPr>
              <w:t>提供材料</w:t>
            </w:r>
          </w:p>
        </w:tc>
        <w:tc>
          <w:tcPr>
            <w:tcW w:w="1363" w:type="dxa"/>
            <w:shd w:val="clear" w:color="auto" w:fill="A4A4A4" w:themeFill="background1" w:themeFillShade="A5"/>
          </w:tcPr>
          <w:p w14:paraId="16FDA6CE">
            <w:pPr>
              <w:numPr>
                <w:ilvl w:val="-1"/>
                <w:numId w:val="0"/>
              </w:numPr>
              <w:snapToGrid w:val="0"/>
              <w:spacing w:before="60" w:after="60" w:line="560" w:lineRule="exact"/>
              <w:jc w:val="center"/>
              <w:rPr>
                <w:rFonts w:hint="eastAsia" w:ascii="仿宋" w:hAnsi="仿宋" w:eastAsia="仿宋" w:cs="仿宋"/>
                <w:b/>
                <w:bCs/>
                <w:color w:val="333333"/>
                <w:sz w:val="28"/>
                <w:szCs w:val="28"/>
                <w:highlight w:val="none"/>
                <w:vertAlign w:val="baseline"/>
                <w:lang w:val="en-US" w:eastAsia="zh-CN"/>
              </w:rPr>
            </w:pPr>
            <w:r>
              <w:rPr>
                <w:rFonts w:hint="eastAsia" w:ascii="仿宋" w:hAnsi="仿宋" w:eastAsia="仿宋" w:cs="仿宋"/>
                <w:b/>
                <w:bCs/>
                <w:color w:val="333333"/>
                <w:sz w:val="28"/>
                <w:szCs w:val="28"/>
                <w:highlight w:val="none"/>
                <w:vertAlign w:val="baseline"/>
                <w:lang w:val="en-US" w:eastAsia="zh-CN"/>
              </w:rPr>
              <w:t>备注</w:t>
            </w:r>
          </w:p>
        </w:tc>
      </w:tr>
      <w:tr w14:paraId="29FF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9" w:type="dxa"/>
            <w:gridSpan w:val="6"/>
            <w:shd w:val="clear" w:color="auto" w:fill="E7E6E6" w:themeFill="background2"/>
          </w:tcPr>
          <w:p w14:paraId="675852CB">
            <w:pPr>
              <w:numPr>
                <w:ilvl w:val="-1"/>
                <w:numId w:val="0"/>
              </w:numPr>
              <w:snapToGrid w:val="0"/>
              <w:spacing w:before="60" w:after="60" w:line="560" w:lineRule="exact"/>
              <w:jc w:val="center"/>
              <w:rPr>
                <w:rFonts w:hint="eastAsia" w:ascii="仿宋" w:hAnsi="仿宋" w:eastAsia="仿宋" w:cs="仿宋"/>
                <w:b/>
                <w:bCs/>
                <w:color w:val="333333"/>
                <w:sz w:val="22"/>
                <w:szCs w:val="22"/>
                <w:highlight w:val="lightGray"/>
                <w:vertAlign w:val="baseline"/>
                <w:lang w:val="en-US" w:eastAsia="zh-CN"/>
              </w:rPr>
            </w:pPr>
            <w:r>
              <w:rPr>
                <w:rFonts w:hint="eastAsia" w:ascii="黑体" w:hAnsi="黑体" w:eastAsia="黑体" w:cs="黑体"/>
                <w:color w:val="333333"/>
                <w:sz w:val="28"/>
                <w:szCs w:val="28"/>
                <w:vertAlign w:val="baseline"/>
                <w:lang w:val="en-US" w:eastAsia="zh-CN"/>
              </w:rPr>
              <w:t>数据集持有机构主体信息</w:t>
            </w:r>
          </w:p>
        </w:tc>
      </w:tr>
      <w:tr w14:paraId="7775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489" w:type="dxa"/>
            <w:vMerge w:val="restart"/>
            <w:vAlign w:val="center"/>
          </w:tcPr>
          <w:p w14:paraId="1928AC88">
            <w:pPr>
              <w:numPr>
                <w:ilvl w:val="-1"/>
                <w:numId w:val="0"/>
              </w:numPr>
              <w:snapToGrid w:val="0"/>
              <w:spacing w:before="60" w:after="60" w:line="560" w:lineRule="exact"/>
              <w:jc w:val="center"/>
              <w:rPr>
                <w:rFonts w:hint="eastAsia" w:ascii="仿宋" w:hAnsi="仿宋" w:eastAsia="仿宋" w:cs="仿宋"/>
                <w:color w:val="333333"/>
                <w:sz w:val="22"/>
                <w:szCs w:val="22"/>
                <w:vertAlign w:val="baseline"/>
                <w:lang w:val="en-US" w:eastAsia="zh-CN"/>
              </w:rPr>
            </w:pPr>
          </w:p>
          <w:p w14:paraId="0D653E15">
            <w:pPr>
              <w:numPr>
                <w:ilvl w:val="-1"/>
                <w:numId w:val="0"/>
              </w:numPr>
              <w:snapToGrid w:val="0"/>
              <w:spacing w:before="60" w:after="60" w:line="560" w:lineRule="exact"/>
              <w:jc w:val="center"/>
              <w:rPr>
                <w:rFonts w:hint="eastAsia" w:ascii="仿宋" w:hAnsi="仿宋" w:eastAsia="仿宋" w:cs="仿宋"/>
                <w:color w:val="333333"/>
                <w:sz w:val="22"/>
                <w:szCs w:val="22"/>
                <w:vertAlign w:val="baseline"/>
                <w:lang w:val="en-US" w:eastAsia="zh-CN"/>
              </w:rPr>
            </w:pPr>
          </w:p>
          <w:p w14:paraId="3C6E7390">
            <w:pPr>
              <w:numPr>
                <w:ilvl w:val="-1"/>
                <w:numId w:val="0"/>
              </w:numPr>
              <w:snapToGrid w:val="0"/>
              <w:spacing w:before="60" w:after="60" w:line="560" w:lineRule="exact"/>
              <w:jc w:val="center"/>
              <w:rPr>
                <w:rFonts w:hint="eastAsia" w:ascii="仿宋" w:hAnsi="仿宋" w:eastAsia="仿宋" w:cs="仿宋"/>
                <w:color w:val="333333"/>
                <w:sz w:val="22"/>
                <w:szCs w:val="22"/>
                <w:vertAlign w:val="baseline"/>
                <w:lang w:val="en-US" w:eastAsia="zh-CN"/>
              </w:rPr>
            </w:pPr>
          </w:p>
          <w:p w14:paraId="0E78E4DB">
            <w:pPr>
              <w:numPr>
                <w:ilvl w:val="-1"/>
                <w:numId w:val="0"/>
              </w:numPr>
              <w:snapToGrid w:val="0"/>
              <w:spacing w:before="60" w:after="60" w:line="560" w:lineRule="exact"/>
              <w:jc w:val="center"/>
              <w:rPr>
                <w:rFonts w:hint="eastAsia" w:ascii="仿宋" w:hAnsi="仿宋" w:eastAsia="仿宋" w:cs="仿宋"/>
                <w:color w:val="333333"/>
                <w:sz w:val="22"/>
                <w:szCs w:val="22"/>
                <w:vertAlign w:val="baseline"/>
                <w:lang w:val="en-US" w:eastAsia="zh-CN"/>
              </w:rPr>
            </w:pPr>
          </w:p>
          <w:p w14:paraId="5E1C6EA8">
            <w:pPr>
              <w:numPr>
                <w:ilvl w:val="-1"/>
                <w:numId w:val="0"/>
              </w:numPr>
              <w:snapToGrid w:val="0"/>
              <w:spacing w:before="60" w:after="60" w:line="560" w:lineRule="exact"/>
              <w:jc w:val="center"/>
              <w:rPr>
                <w:rFonts w:hint="default"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合规经营能力</w:t>
            </w:r>
          </w:p>
        </w:tc>
        <w:tc>
          <w:tcPr>
            <w:tcW w:w="4161" w:type="dxa"/>
          </w:tcPr>
          <w:p w14:paraId="0324395D">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是否存在重大债偿风险、影响持续经营的担保、诉讼以及仲裁等重大或有事项</w:t>
            </w:r>
          </w:p>
        </w:tc>
        <w:tc>
          <w:tcPr>
            <w:tcW w:w="3288" w:type="dxa"/>
          </w:tcPr>
          <w:p w14:paraId="392C37D8">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vMerge w:val="restart"/>
          </w:tcPr>
          <w:p w14:paraId="40ADEF87">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1.营业执照、单位法人证书、社会团体法人登记证书等</w:t>
            </w:r>
          </w:p>
          <w:p w14:paraId="5E1CEDC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2.信用中国企业信用报告</w:t>
            </w:r>
          </w:p>
          <w:p w14:paraId="383B63E0">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3. 数据集开发、经营业务需要的特殊资质、许可、认证、登记备案文件</w:t>
            </w:r>
          </w:p>
          <w:p w14:paraId="34353025">
            <w:pPr>
              <w:numPr>
                <w:ilvl w:val="-1"/>
                <w:numId w:val="0"/>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4.近一年内单位（企业）及董事、监事、法定代表人无重大数据类违法违规行为承诺。</w:t>
            </w:r>
          </w:p>
        </w:tc>
        <w:tc>
          <w:tcPr>
            <w:tcW w:w="2190" w:type="dxa"/>
            <w:vMerge w:val="restart"/>
          </w:tcPr>
          <w:p w14:paraId="3B721AD8">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70D6C40A">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2B3F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Merge w:val="continue"/>
          </w:tcPr>
          <w:p w14:paraId="38F522C7">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4161" w:type="dxa"/>
          </w:tcPr>
          <w:p w14:paraId="0F0F85A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近一年内是否存在重大数据类违法违规行为以及其他可能对数据交易活动构成实质性重大不利影响的情形</w:t>
            </w:r>
          </w:p>
        </w:tc>
        <w:tc>
          <w:tcPr>
            <w:tcW w:w="3288" w:type="dxa"/>
          </w:tcPr>
          <w:p w14:paraId="79232949">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vMerge w:val="continue"/>
          </w:tcPr>
          <w:p w14:paraId="16CE0E7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190" w:type="dxa"/>
            <w:vMerge w:val="continue"/>
          </w:tcPr>
          <w:p w14:paraId="1043C2C3">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6431BBFE">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2310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Merge w:val="continue"/>
          </w:tcPr>
          <w:p w14:paraId="4FA3491F">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4161" w:type="dxa"/>
          </w:tcPr>
          <w:p w14:paraId="514386E5">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董事、监事、法定代表人是否存在重大数据类违法违规行为，是否属于失信被执行人，以及上述人员是否存在其他可能对数据交易活动构成实质性重大不利影响的情形</w:t>
            </w:r>
          </w:p>
        </w:tc>
        <w:tc>
          <w:tcPr>
            <w:tcW w:w="3288" w:type="dxa"/>
          </w:tcPr>
          <w:p w14:paraId="516FABF8">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vMerge w:val="continue"/>
          </w:tcPr>
          <w:p w14:paraId="08013168">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190" w:type="dxa"/>
            <w:vMerge w:val="continue"/>
          </w:tcPr>
          <w:p w14:paraId="424CC1D3">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7893413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4843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Merge w:val="continue"/>
          </w:tcPr>
          <w:p w14:paraId="776CD71B">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4161" w:type="dxa"/>
          </w:tcPr>
          <w:p w14:paraId="33F2966E">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是否存在其他正在办理或尚待取得的与数据集经营业务相关的资质证书</w:t>
            </w:r>
          </w:p>
        </w:tc>
        <w:tc>
          <w:tcPr>
            <w:tcW w:w="3288" w:type="dxa"/>
          </w:tcPr>
          <w:p w14:paraId="0F71A4E2">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vMerge w:val="continue"/>
          </w:tcPr>
          <w:p w14:paraId="5F2C2305">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190" w:type="dxa"/>
            <w:vMerge w:val="continue"/>
          </w:tcPr>
          <w:p w14:paraId="041D901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15A977F3">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1AE4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9" w:type="dxa"/>
            <w:gridSpan w:val="6"/>
            <w:shd w:val="clear" w:color="auto" w:fill="D7D7D7" w:themeFill="background1" w:themeFillShade="D8"/>
          </w:tcPr>
          <w:p w14:paraId="5FCEB7BD">
            <w:pPr>
              <w:numPr>
                <w:ilvl w:val="-1"/>
                <w:numId w:val="0"/>
              </w:numPr>
              <w:snapToGrid w:val="0"/>
              <w:spacing w:before="60" w:after="60" w:line="560" w:lineRule="exact"/>
              <w:jc w:val="center"/>
              <w:rPr>
                <w:rFonts w:hint="eastAsia" w:ascii="仿宋" w:hAnsi="仿宋" w:eastAsia="仿宋" w:cs="仿宋"/>
                <w:color w:val="333333"/>
                <w:sz w:val="22"/>
                <w:szCs w:val="22"/>
                <w:vertAlign w:val="baseline"/>
                <w:lang w:val="en-US" w:eastAsia="zh-CN"/>
              </w:rPr>
            </w:pPr>
            <w:r>
              <w:rPr>
                <w:rFonts w:hint="eastAsia" w:ascii="黑体" w:hAnsi="黑体" w:eastAsia="黑体" w:cs="黑体"/>
                <w:color w:val="333333"/>
                <w:sz w:val="28"/>
                <w:szCs w:val="28"/>
                <w:vertAlign w:val="baseline"/>
                <w:lang w:val="en-US" w:eastAsia="zh-CN"/>
              </w:rPr>
              <w:t>数据来源合法</w:t>
            </w:r>
          </w:p>
        </w:tc>
      </w:tr>
      <w:tr w14:paraId="3681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7F3E4A37">
            <w:pPr>
              <w:numPr>
                <w:ilvl w:val="-1"/>
                <w:numId w:val="0"/>
              </w:numPr>
              <w:snapToGrid w:val="0"/>
              <w:spacing w:before="60" w:after="60" w:line="560" w:lineRule="exact"/>
              <w:jc w:val="both"/>
              <w:rPr>
                <w:rFonts w:hint="eastAsia" w:ascii="黑体" w:hAnsi="黑体" w:eastAsia="黑体" w:cs="黑体"/>
                <w:color w:val="333333"/>
                <w:sz w:val="28"/>
                <w:szCs w:val="28"/>
                <w:vertAlign w:val="baseline"/>
                <w:lang w:val="en-US" w:eastAsia="zh-CN"/>
              </w:rPr>
            </w:pPr>
          </w:p>
          <w:p w14:paraId="72790D05">
            <w:pPr>
              <w:numPr>
                <w:ilvl w:val="0"/>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公开收集数据</w:t>
            </w:r>
          </w:p>
          <w:p w14:paraId="3152C7F6">
            <w:pPr>
              <w:numPr>
                <w:ilvl w:val="-1"/>
                <w:numId w:val="0"/>
              </w:numPr>
              <w:snapToGrid w:val="0"/>
              <w:spacing w:before="60" w:after="60" w:line="560" w:lineRule="exact"/>
              <w:jc w:val="both"/>
              <w:rPr>
                <w:rFonts w:hint="eastAsia" w:ascii="黑体" w:hAnsi="黑体" w:eastAsia="黑体" w:cs="黑体"/>
                <w:color w:val="333333"/>
                <w:sz w:val="28"/>
                <w:szCs w:val="28"/>
                <w:vertAlign w:val="baseline"/>
                <w:lang w:val="en-US" w:eastAsia="zh-CN"/>
              </w:rPr>
            </w:pPr>
          </w:p>
          <w:p w14:paraId="43BDB23E">
            <w:pPr>
              <w:numPr>
                <w:ilvl w:val="-1"/>
                <w:numId w:val="0"/>
              </w:numPr>
              <w:snapToGrid w:val="0"/>
              <w:spacing w:before="60" w:after="60" w:line="560" w:lineRule="exact"/>
              <w:jc w:val="both"/>
              <w:rPr>
                <w:rFonts w:hint="eastAsia" w:ascii="黑体" w:hAnsi="黑体" w:eastAsia="黑体" w:cs="黑体"/>
                <w:color w:val="333333"/>
                <w:sz w:val="28"/>
                <w:szCs w:val="28"/>
                <w:vertAlign w:val="baseline"/>
                <w:lang w:val="en-US" w:eastAsia="zh-CN"/>
              </w:rPr>
            </w:pPr>
          </w:p>
          <w:p w14:paraId="0DE8435E">
            <w:pPr>
              <w:numPr>
                <w:ilvl w:val="-1"/>
                <w:numId w:val="0"/>
              </w:numPr>
              <w:snapToGrid w:val="0"/>
              <w:spacing w:before="60" w:after="60" w:line="560" w:lineRule="exact"/>
              <w:jc w:val="both"/>
              <w:rPr>
                <w:rFonts w:hint="eastAsia" w:ascii="黑体" w:hAnsi="黑体" w:eastAsia="黑体" w:cs="黑体"/>
                <w:color w:val="333333"/>
                <w:sz w:val="28"/>
                <w:szCs w:val="28"/>
                <w:vertAlign w:val="baseline"/>
                <w:lang w:val="en-US" w:eastAsia="zh-CN"/>
              </w:rPr>
            </w:pPr>
          </w:p>
          <w:p w14:paraId="20850FCD">
            <w:pPr>
              <w:numPr>
                <w:ilvl w:val="-1"/>
                <w:numId w:val="0"/>
              </w:numPr>
              <w:snapToGrid w:val="0"/>
              <w:spacing w:before="60" w:after="60" w:line="560" w:lineRule="exact"/>
              <w:jc w:val="both"/>
              <w:rPr>
                <w:rFonts w:hint="eastAsia" w:ascii="黑体" w:hAnsi="黑体" w:eastAsia="黑体" w:cs="黑体"/>
                <w:color w:val="333333"/>
                <w:sz w:val="28"/>
                <w:szCs w:val="28"/>
                <w:vertAlign w:val="baseline"/>
                <w:lang w:val="en-US" w:eastAsia="zh-CN"/>
              </w:rPr>
            </w:pPr>
          </w:p>
          <w:p w14:paraId="0D2A822F">
            <w:pPr>
              <w:numPr>
                <w:ilvl w:val="-1"/>
                <w:numId w:val="0"/>
              </w:numPr>
              <w:snapToGrid w:val="0"/>
              <w:spacing w:before="60" w:after="60" w:line="560" w:lineRule="exact"/>
              <w:jc w:val="both"/>
              <w:rPr>
                <w:rFonts w:hint="default" w:ascii="仿宋" w:hAnsi="仿宋" w:eastAsia="仿宋" w:cs="仿宋"/>
                <w:color w:val="333333"/>
                <w:sz w:val="22"/>
                <w:szCs w:val="22"/>
                <w:vertAlign w:val="baseline"/>
                <w:lang w:val="en-US" w:eastAsia="zh-CN"/>
              </w:rPr>
            </w:pPr>
          </w:p>
        </w:tc>
        <w:tc>
          <w:tcPr>
            <w:tcW w:w="4161" w:type="dxa"/>
          </w:tcPr>
          <w:p w14:paraId="41C711DC">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是否通过自动化访问技术手段收集数据</w:t>
            </w:r>
          </w:p>
          <w:p w14:paraId="795373EF">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收集对象是否为公开的网站或可访问的计算机信息系统</w:t>
            </w:r>
          </w:p>
          <w:p w14:paraId="750742A7">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收集对象是否与自身经营业务存在实质性的竞争关系</w:t>
            </w:r>
          </w:p>
          <w:p w14:paraId="0838CE71">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收集的数据是否涉及个人信息</w:t>
            </w:r>
          </w:p>
          <w:p w14:paraId="6ECB05EB">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收集的数据是否涉及商业秘密或受反不正当竞争法保护的数据</w:t>
            </w:r>
          </w:p>
          <w:p w14:paraId="6319E090">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收集的数据是否涉及受著作权保护的作品</w:t>
            </w:r>
          </w:p>
          <w:p w14:paraId="1D6ECB1C">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收集的数据是否限制用于商业用途</w:t>
            </w:r>
          </w:p>
          <w:p w14:paraId="2B5B07E7">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是否存在利用破解网站加密规则、伪造身份认证信息、非法获取权限等技术手段突破或绕过网站设置的反爬技术</w:t>
            </w:r>
          </w:p>
          <w:p w14:paraId="3D0E9E4C">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是否干扰被收集网站正常运行</w:t>
            </w:r>
          </w:p>
          <w:p w14:paraId="6145EDEE">
            <w:pPr>
              <w:numPr>
                <w:ilvl w:val="0"/>
                <w:numId w:val="1"/>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设置合理的访问频率</w:t>
            </w:r>
          </w:p>
        </w:tc>
        <w:tc>
          <w:tcPr>
            <w:tcW w:w="3288" w:type="dxa"/>
          </w:tcPr>
          <w:p w14:paraId="5774239A">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tcPr>
          <w:p w14:paraId="3C8A69F2">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相关风险评估报告或说明，包含以下内容：</w:t>
            </w:r>
          </w:p>
          <w:p w14:paraId="756A4475">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1. 被抓取对象主体名称、性质、网站地址清单</w:t>
            </w:r>
          </w:p>
          <w:p w14:paraId="7342FA7F">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2. 抓取内容的部分字段清单</w:t>
            </w:r>
          </w:p>
          <w:p w14:paraId="4C2B4764">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3. 抓取策略说明</w:t>
            </w:r>
          </w:p>
          <w:p w14:paraId="4FF579FD">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4. 访问频率说明</w:t>
            </w:r>
          </w:p>
          <w:p w14:paraId="6DC756FE">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5. 风险防范措施</w:t>
            </w:r>
          </w:p>
          <w:p w14:paraId="16C3A0E9">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6. 持续监控优化说明</w:t>
            </w:r>
          </w:p>
        </w:tc>
        <w:tc>
          <w:tcPr>
            <w:tcW w:w="2190" w:type="dxa"/>
          </w:tcPr>
          <w:p w14:paraId="591EA19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15A418FD">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5D0C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4EB6F4FD">
            <w:pPr>
              <w:numPr>
                <w:ilvl w:val="0"/>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自行生产数据</w:t>
            </w:r>
          </w:p>
          <w:p w14:paraId="7550A3C2">
            <w:pPr>
              <w:numPr>
                <w:ilvl w:val="-1"/>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p>
        </w:tc>
        <w:tc>
          <w:tcPr>
            <w:tcW w:w="4161" w:type="dxa"/>
          </w:tcPr>
          <w:p w14:paraId="35B360F4">
            <w:pPr>
              <w:numPr>
                <w:ilvl w:val="0"/>
                <w:numId w:val="2"/>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数据收集行为是否具备独立性，涉及其他相关利益相关方时不存在侵权或权属不清的情形</w:t>
            </w:r>
          </w:p>
          <w:p w14:paraId="7AE347AA">
            <w:pPr>
              <w:numPr>
                <w:ilvl w:val="0"/>
                <w:numId w:val="2"/>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数据收集、处理所依赖的信息技术或系统是否存在侵犯第三方权益的情形</w:t>
            </w:r>
          </w:p>
        </w:tc>
        <w:tc>
          <w:tcPr>
            <w:tcW w:w="3288" w:type="dxa"/>
          </w:tcPr>
          <w:p w14:paraId="238F621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tcPr>
          <w:p w14:paraId="3E982F60">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1.数据独立性，应用独立性的相关说明</w:t>
            </w:r>
          </w:p>
          <w:p w14:paraId="1CBA53F6">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2.特殊资质、许可、备案的相关证明</w:t>
            </w:r>
          </w:p>
        </w:tc>
        <w:tc>
          <w:tcPr>
            <w:tcW w:w="2190" w:type="dxa"/>
          </w:tcPr>
          <w:p w14:paraId="2573243F">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504A208D">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2F6D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0CE3E557">
            <w:pPr>
              <w:numPr>
                <w:ilvl w:val="0"/>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协议获取数据</w:t>
            </w:r>
          </w:p>
          <w:p w14:paraId="4C44AE20">
            <w:pPr>
              <w:numPr>
                <w:ilvl w:val="-1"/>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p>
        </w:tc>
        <w:tc>
          <w:tcPr>
            <w:tcW w:w="4161" w:type="dxa"/>
          </w:tcPr>
          <w:p w14:paraId="40706DE3">
            <w:pPr>
              <w:numPr>
                <w:ilvl w:val="0"/>
                <w:numId w:val="3"/>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是否要求数据提供方对于数据来源做合法性的承诺，并在相关协议中体现</w:t>
            </w:r>
          </w:p>
          <w:p w14:paraId="6636DE7C">
            <w:pPr>
              <w:numPr>
                <w:ilvl w:val="0"/>
                <w:numId w:val="3"/>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相关协议中是否明确数据使用目的、范围、安全保护要求，使用限制和知识产权归属等事项</w:t>
            </w:r>
          </w:p>
          <w:p w14:paraId="7CA21140">
            <w:pPr>
              <w:numPr>
                <w:ilvl w:val="0"/>
                <w:numId w:val="3"/>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相关协议中是否有对数据对外提供作出目的、期限、范围等限制要求</w:t>
            </w:r>
          </w:p>
          <w:p w14:paraId="025FE873">
            <w:pPr>
              <w:numPr>
                <w:ilvl w:val="0"/>
                <w:numId w:val="3"/>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核实协议相对方是否需要取得资质、许可、认证和备案方可对外提供数据</w:t>
            </w:r>
          </w:p>
        </w:tc>
        <w:tc>
          <w:tcPr>
            <w:tcW w:w="3288" w:type="dxa"/>
          </w:tcPr>
          <w:p w14:paraId="76C98169">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tcPr>
          <w:p w14:paraId="781FA451">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1. 采购、合作协议</w:t>
            </w:r>
          </w:p>
          <w:p w14:paraId="789B3689">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2. 授权许可证明</w:t>
            </w:r>
          </w:p>
          <w:p w14:paraId="43AE2DAF">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3. 隐私政策</w:t>
            </w:r>
          </w:p>
          <w:p w14:paraId="6D6F8D7A">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4. 相关资质文件</w:t>
            </w:r>
          </w:p>
        </w:tc>
        <w:tc>
          <w:tcPr>
            <w:tcW w:w="2190" w:type="dxa"/>
          </w:tcPr>
          <w:p w14:paraId="33493ACC">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70A550EB">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r w14:paraId="261E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7C37EF2F">
            <w:pPr>
              <w:numPr>
                <w:ilvl w:val="0"/>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个人信息收集</w:t>
            </w:r>
          </w:p>
          <w:p w14:paraId="316E5CCD">
            <w:pPr>
              <w:numPr>
                <w:ilvl w:val="-1"/>
                <w:numId w:val="0"/>
              </w:numPr>
              <w:snapToGrid w:val="0"/>
              <w:spacing w:before="60" w:after="60" w:line="560" w:lineRule="exact"/>
              <w:jc w:val="both"/>
              <w:rPr>
                <w:rFonts w:hint="eastAsia" w:ascii="仿宋" w:hAnsi="仿宋" w:eastAsia="仿宋" w:cs="仿宋"/>
                <w:color w:val="333333"/>
                <w:sz w:val="22"/>
                <w:szCs w:val="22"/>
                <w:vertAlign w:val="baseline"/>
                <w:lang w:val="en-US" w:eastAsia="zh-CN"/>
              </w:rPr>
            </w:pPr>
          </w:p>
        </w:tc>
        <w:tc>
          <w:tcPr>
            <w:tcW w:w="4161" w:type="dxa"/>
          </w:tcPr>
          <w:p w14:paraId="5DF2F2D0">
            <w:pPr>
              <w:numPr>
                <w:ilvl w:val="0"/>
                <w:numId w:val="4"/>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是否建立个人信息保护制度体系</w:t>
            </w:r>
          </w:p>
          <w:p w14:paraId="0DEB8489">
            <w:pPr>
              <w:numPr>
                <w:ilvl w:val="0"/>
                <w:numId w:val="4"/>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涉及收集是否在事前开展个人信息保护影响评估，评估个人信息对外提供可能引起的风险</w:t>
            </w:r>
          </w:p>
          <w:p w14:paraId="363CD7D1">
            <w:pPr>
              <w:numPr>
                <w:ilvl w:val="0"/>
                <w:numId w:val="4"/>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是否通过隐私政策、授权协议向个人信息主体告知如下事项：</w:t>
            </w:r>
          </w:p>
          <w:p w14:paraId="6DFF217E">
            <w:pPr>
              <w:numPr>
                <w:ilvl w:val="0"/>
                <w:numId w:val="5"/>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处理个人信息的种类；</w:t>
            </w:r>
          </w:p>
          <w:p w14:paraId="6C85704A">
            <w:pPr>
              <w:numPr>
                <w:ilvl w:val="0"/>
                <w:numId w:val="5"/>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收集各类个人信息的具体情况以及停止收集的方式和途径；</w:t>
            </w:r>
          </w:p>
          <w:p w14:paraId="4E5FB330">
            <w:pPr>
              <w:numPr>
                <w:ilvl w:val="0"/>
                <w:numId w:val="5"/>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处理各类个人信息的目的、用途、方式；</w:t>
            </w:r>
          </w:p>
          <w:p w14:paraId="39EEEECB">
            <w:pPr>
              <w:numPr>
                <w:ilvl w:val="0"/>
                <w:numId w:val="5"/>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个人信息保存地点、保存期限；</w:t>
            </w:r>
          </w:p>
          <w:p w14:paraId="593FC875">
            <w:pPr>
              <w:numPr>
                <w:ilvl w:val="0"/>
                <w:numId w:val="5"/>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向个人告知接收方的名称或姓名、联系方式、处理目的、处理方式和个人信息的种类；</w:t>
            </w:r>
          </w:p>
          <w:p w14:paraId="4FDB65DB">
            <w:pPr>
              <w:numPr>
                <w:ilvl w:val="0"/>
                <w:numId w:val="5"/>
              </w:numPr>
              <w:snapToGrid w:val="0"/>
              <w:spacing w:before="60" w:after="60" w:line="560" w:lineRule="exact"/>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其他按照《个人信息保护法》应当告知的事项。</w:t>
            </w:r>
          </w:p>
          <w:p w14:paraId="11F362AF">
            <w:pPr>
              <w:numPr>
                <w:ilvl w:val="0"/>
                <w:numId w:val="4"/>
              </w:numPr>
              <w:snapToGrid w:val="0"/>
              <w:spacing w:before="60" w:after="60" w:line="560" w:lineRule="exact"/>
              <w:ind w:left="0" w:leftChars="0" w:firstLine="0" w:firstLineChars="0"/>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是否取得个人信息主体的同意或单独同意</w:t>
            </w:r>
          </w:p>
          <w:p w14:paraId="23555E61">
            <w:pPr>
              <w:numPr>
                <w:ilvl w:val="0"/>
                <w:numId w:val="4"/>
              </w:numPr>
              <w:snapToGrid w:val="0"/>
              <w:spacing w:before="60" w:after="60" w:line="560" w:lineRule="exact"/>
              <w:ind w:left="0" w:leftChars="0" w:firstLine="0" w:firstLineChars="0"/>
              <w:rPr>
                <w:rFonts w:hint="default" w:ascii="仿宋" w:hAnsi="仿宋" w:eastAsia="仿宋" w:cs="仿宋"/>
                <w:color w:val="333333"/>
                <w:sz w:val="22"/>
                <w:szCs w:val="22"/>
                <w:vertAlign w:val="baseline"/>
                <w:lang w:val="en-US" w:eastAsia="zh-CN"/>
              </w:rPr>
            </w:pPr>
            <w:r>
              <w:rPr>
                <w:rFonts w:hint="default" w:ascii="仿宋" w:hAnsi="仿宋" w:eastAsia="仿宋" w:cs="仿宋"/>
                <w:color w:val="333333"/>
                <w:sz w:val="22"/>
                <w:szCs w:val="22"/>
                <w:vertAlign w:val="baseline"/>
                <w:lang w:val="en-US" w:eastAsia="zh-CN"/>
              </w:rPr>
              <w:t>当个人信息主体撤回同意时，是否设置了停止处理或及时删除个人信息的机制</w:t>
            </w:r>
          </w:p>
        </w:tc>
        <w:tc>
          <w:tcPr>
            <w:tcW w:w="3288" w:type="dxa"/>
          </w:tcPr>
          <w:p w14:paraId="2A89E1AB">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2018" w:type="dxa"/>
          </w:tcPr>
          <w:p w14:paraId="6B5B7385">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1. 隐私政策、授权协议</w:t>
            </w:r>
          </w:p>
          <w:p w14:paraId="1F323369">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2. 用户单独同意的证明材料，如包含单独同意的页面截图、条款等</w:t>
            </w:r>
          </w:p>
          <w:p w14:paraId="646155C6">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3. 个人信息保护相关制度、流程及操作规范</w:t>
            </w:r>
          </w:p>
          <w:p w14:paraId="0A0E74B7">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r>
              <w:rPr>
                <w:rFonts w:hint="eastAsia" w:ascii="仿宋" w:hAnsi="仿宋" w:eastAsia="仿宋" w:cs="仿宋"/>
                <w:color w:val="333333"/>
                <w:sz w:val="22"/>
                <w:szCs w:val="22"/>
                <w:vertAlign w:val="baseline"/>
                <w:lang w:val="en-US" w:eastAsia="zh-CN"/>
              </w:rPr>
              <w:t>4. 个人信息保护影响评估报告</w:t>
            </w:r>
          </w:p>
        </w:tc>
        <w:tc>
          <w:tcPr>
            <w:tcW w:w="2190" w:type="dxa"/>
          </w:tcPr>
          <w:p w14:paraId="4B179686">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c>
          <w:tcPr>
            <w:tcW w:w="1363" w:type="dxa"/>
          </w:tcPr>
          <w:p w14:paraId="29EF3246">
            <w:pPr>
              <w:numPr>
                <w:ilvl w:val="-1"/>
                <w:numId w:val="0"/>
              </w:numPr>
              <w:snapToGrid w:val="0"/>
              <w:spacing w:before="60" w:after="60" w:line="560" w:lineRule="exact"/>
              <w:rPr>
                <w:rFonts w:hint="eastAsia" w:ascii="仿宋" w:hAnsi="仿宋" w:eastAsia="仿宋" w:cs="仿宋"/>
                <w:color w:val="333333"/>
                <w:sz w:val="22"/>
                <w:szCs w:val="22"/>
                <w:vertAlign w:val="baseline"/>
                <w:lang w:val="en-US" w:eastAsia="zh-CN"/>
              </w:rPr>
            </w:pPr>
          </w:p>
        </w:tc>
      </w:tr>
    </w:tbl>
    <w:p w14:paraId="1DECD623">
      <w:pPr>
        <w:numPr>
          <w:ilvl w:val="-1"/>
          <w:numId w:val="0"/>
        </w:numPr>
        <w:snapToGrid w:val="0"/>
        <w:spacing w:before="60" w:after="60" w:line="560" w:lineRule="exact"/>
        <w:rPr>
          <w:rFonts w:hint="eastAsia" w:ascii="黑体" w:hAnsi="黑体" w:eastAsia="黑体" w:cs="Times New Roman"/>
          <w:color w:val="333333"/>
          <w:sz w:val="28"/>
          <w:szCs w:val="28"/>
          <w:lang w:val="en-US" w:eastAsia="zh-CN"/>
        </w:rPr>
      </w:pPr>
    </w:p>
    <w:p w14:paraId="22C30F35">
      <w:pPr>
        <w:numPr>
          <w:ilvl w:val="-1"/>
          <w:numId w:val="0"/>
        </w:numPr>
        <w:snapToGrid w:val="0"/>
        <w:spacing w:before="60" w:after="60" w:line="560" w:lineRule="exact"/>
        <w:rPr>
          <w:rFonts w:hint="eastAsia" w:ascii="黑体" w:hAnsi="黑体" w:eastAsia="黑体" w:cs="Times New Roman"/>
          <w:color w:val="333333"/>
          <w:sz w:val="28"/>
          <w:szCs w:val="28"/>
          <w:lang w:val="en-US" w:eastAsia="zh-CN"/>
        </w:rPr>
      </w:pPr>
    </w:p>
    <w:p w14:paraId="2D529C2F">
      <w:pPr>
        <w:numPr>
          <w:ilvl w:val="-1"/>
          <w:numId w:val="0"/>
        </w:numPr>
        <w:snapToGrid w:val="0"/>
        <w:spacing w:before="60" w:after="60" w:line="560" w:lineRule="exact"/>
        <w:rPr>
          <w:rFonts w:hint="eastAsia" w:ascii="黑体" w:hAnsi="黑体" w:eastAsia="黑体" w:cs="Times New Roman"/>
          <w:color w:val="333333"/>
          <w:sz w:val="28"/>
          <w:szCs w:val="28"/>
          <w:lang w:val="en-US" w:eastAsia="zh-CN"/>
        </w:rPr>
      </w:pPr>
    </w:p>
    <w:p w14:paraId="11FE7A51">
      <w:pPr>
        <w:numPr>
          <w:ilvl w:val="-1"/>
          <w:numId w:val="0"/>
        </w:numPr>
        <w:snapToGrid w:val="0"/>
        <w:spacing w:before="60" w:after="60" w:line="560" w:lineRule="exact"/>
        <w:rPr>
          <w:rFonts w:hint="eastAsia" w:ascii="黑体" w:hAnsi="黑体" w:eastAsia="黑体" w:cs="Times New Roman"/>
          <w:color w:val="333333"/>
          <w:sz w:val="28"/>
          <w:szCs w:val="28"/>
          <w:lang w:val="en-US" w:eastAsia="zh-CN"/>
        </w:rPr>
      </w:pPr>
    </w:p>
    <w:p w14:paraId="16ADD8A3">
      <w:pPr>
        <w:numPr>
          <w:ilvl w:val="-1"/>
          <w:numId w:val="0"/>
        </w:numPr>
        <w:snapToGrid w:val="0"/>
        <w:spacing w:before="60" w:after="60" w:line="560" w:lineRule="exact"/>
        <w:rPr>
          <w:rFonts w:hint="eastAsia"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【数据集合规自评估结论及承诺】</w:t>
      </w:r>
    </w:p>
    <w:p w14:paraId="6D2FAEEB">
      <w:pPr>
        <w:numPr>
          <w:ilvl w:val="-1"/>
          <w:numId w:val="0"/>
        </w:numPr>
        <w:snapToGrid w:val="0"/>
        <w:spacing w:before="60" w:after="60" w:line="560" w:lineRule="exact"/>
        <w:ind w:firstLine="560" w:firstLineChars="200"/>
        <w:rPr>
          <w:rFonts w:hint="eastAsia" w:ascii="楷体" w:hAnsi="楷体" w:eastAsia="楷体" w:cs="楷体"/>
          <w:color w:val="333333"/>
          <w:sz w:val="28"/>
          <w:szCs w:val="28"/>
          <w:lang w:val="en-US" w:eastAsia="zh-CN"/>
        </w:rPr>
      </w:pPr>
      <w:r>
        <w:rPr>
          <w:rFonts w:hint="eastAsia" w:ascii="楷体" w:hAnsi="楷体" w:eastAsia="楷体" w:cs="楷体"/>
          <w:color w:val="333333"/>
          <w:sz w:val="28"/>
          <w:szCs w:val="28"/>
          <w:lang w:val="en-US" w:eastAsia="zh-CN"/>
        </w:rPr>
        <w:t>根据上述自评估内容说明，本单位依法成立、有效存续并合法经营，具有承担民事责任的能力；能够确保数据集的数据来源合法合规;遵守相关法律法规规定，积极履行数据安全保护义务，采取相应的数据安全保护技术措施，本单位对所提交材料的真实性负责，如有不实，自愿承担由此产生的法律后果。</w:t>
      </w:r>
    </w:p>
    <w:p w14:paraId="56402A20">
      <w:pPr>
        <w:numPr>
          <w:ilvl w:val="-1"/>
          <w:numId w:val="0"/>
        </w:numPr>
        <w:snapToGrid w:val="0"/>
        <w:spacing w:before="60" w:after="60" w:line="560" w:lineRule="exact"/>
        <w:rPr>
          <w:rFonts w:hint="eastAsia" w:ascii="黑体" w:hAnsi="黑体" w:eastAsia="黑体" w:cs="Times New Roman"/>
          <w:color w:val="333333"/>
          <w:sz w:val="28"/>
          <w:szCs w:val="28"/>
          <w:lang w:val="en-US" w:eastAsia="zh-CN"/>
        </w:rPr>
      </w:pPr>
    </w:p>
    <w:p w14:paraId="4FA6A4EA">
      <w:pPr>
        <w:numPr>
          <w:ilvl w:val="-1"/>
          <w:numId w:val="0"/>
        </w:numPr>
        <w:snapToGrid w:val="0"/>
        <w:spacing w:before="60" w:after="60" w:line="560" w:lineRule="exact"/>
        <w:rPr>
          <w:rFonts w:hint="default"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 xml:space="preserve">                                                                    自评估单位（盖章）：</w:t>
      </w:r>
    </w:p>
    <w:p w14:paraId="72363865">
      <w:pPr>
        <w:numPr>
          <w:ilvl w:val="-1"/>
          <w:numId w:val="0"/>
        </w:numPr>
        <w:snapToGrid w:val="0"/>
        <w:spacing w:before="60" w:after="60" w:line="560" w:lineRule="exact"/>
        <w:ind w:firstLine="9520" w:firstLineChars="3400"/>
        <w:rPr>
          <w:rFonts w:hint="default"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 xml:space="preserve">授权联系人（签字）：               </w:t>
      </w:r>
      <w:bookmarkStart w:id="0" w:name="_GoBack"/>
      <w:bookmarkEnd w:id="0"/>
    </w:p>
    <w:p w14:paraId="79B304BE">
      <w:pPr>
        <w:numPr>
          <w:ilvl w:val="-1"/>
          <w:numId w:val="0"/>
        </w:numPr>
        <w:snapToGrid w:val="0"/>
        <w:spacing w:before="60" w:after="60" w:line="560" w:lineRule="exact"/>
        <w:rPr>
          <w:rFonts w:hint="default" w:ascii="黑体" w:hAnsi="黑体" w:eastAsia="黑体" w:cs="Times New Roman"/>
          <w:color w:val="333333"/>
          <w:sz w:val="28"/>
          <w:szCs w:val="28"/>
          <w:lang w:val="en-US" w:eastAsia="zh-CN"/>
        </w:rPr>
      </w:pPr>
      <w:r>
        <w:rPr>
          <w:rFonts w:hint="eastAsia" w:ascii="黑体" w:hAnsi="黑体" w:eastAsia="黑体" w:cs="Times New Roman"/>
          <w:color w:val="333333"/>
          <w:sz w:val="28"/>
          <w:szCs w:val="28"/>
          <w:lang w:val="en-US" w:eastAsia="zh-CN"/>
        </w:rPr>
        <w:t xml:space="preserve">                                                                         年    月    日</w:t>
      </w: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E79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F35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2F350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3011"/>
    <w:multiLevelType w:val="singleLevel"/>
    <w:tmpl w:val="833F3011"/>
    <w:lvl w:ilvl="0" w:tentative="0">
      <w:start w:val="1"/>
      <w:numFmt w:val="decimal"/>
      <w:lvlText w:val="%1."/>
      <w:lvlJc w:val="left"/>
      <w:pPr>
        <w:tabs>
          <w:tab w:val="left" w:pos="312"/>
        </w:tabs>
      </w:pPr>
    </w:lvl>
  </w:abstractNum>
  <w:abstractNum w:abstractNumId="1">
    <w:nsid w:val="8B24F234"/>
    <w:multiLevelType w:val="singleLevel"/>
    <w:tmpl w:val="8B24F234"/>
    <w:lvl w:ilvl="0" w:tentative="0">
      <w:start w:val="1"/>
      <w:numFmt w:val="decimal"/>
      <w:lvlText w:val="%1."/>
      <w:lvlJc w:val="left"/>
      <w:pPr>
        <w:tabs>
          <w:tab w:val="left" w:pos="312"/>
        </w:tabs>
      </w:pPr>
    </w:lvl>
  </w:abstractNum>
  <w:abstractNum w:abstractNumId="2">
    <w:nsid w:val="ACA75679"/>
    <w:multiLevelType w:val="singleLevel"/>
    <w:tmpl w:val="ACA75679"/>
    <w:lvl w:ilvl="0" w:tentative="0">
      <w:start w:val="1"/>
      <w:numFmt w:val="decimal"/>
      <w:lvlText w:val="%1."/>
      <w:lvlJc w:val="left"/>
      <w:pPr>
        <w:tabs>
          <w:tab w:val="left" w:pos="312"/>
        </w:tabs>
      </w:pPr>
    </w:lvl>
  </w:abstractNum>
  <w:abstractNum w:abstractNumId="3">
    <w:nsid w:val="C75F48B1"/>
    <w:multiLevelType w:val="singleLevel"/>
    <w:tmpl w:val="C75F48B1"/>
    <w:lvl w:ilvl="0" w:tentative="0">
      <w:start w:val="1"/>
      <w:numFmt w:val="decimal"/>
      <w:suff w:val="nothing"/>
      <w:lvlText w:val="（%1）"/>
      <w:lvlJc w:val="left"/>
    </w:lvl>
  </w:abstractNum>
  <w:abstractNum w:abstractNumId="4">
    <w:nsid w:val="67160A75"/>
    <w:multiLevelType w:val="singleLevel"/>
    <w:tmpl w:val="67160A75"/>
    <w:lvl w:ilvl="0" w:tentative="0">
      <w:start w:val="1"/>
      <w:numFmt w:val="decimal"/>
      <w:lvlText w:val="%1."/>
      <w:lvlJc w:val="left"/>
      <w:pPr>
        <w:tabs>
          <w:tab w:val="left" w:pos="312"/>
        </w:tabs>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A65FA9"/>
    <w:rsid w:val="00EE4D8E"/>
    <w:rsid w:val="00F418B4"/>
    <w:rsid w:val="010E7F54"/>
    <w:rsid w:val="01487061"/>
    <w:rsid w:val="01EE19B6"/>
    <w:rsid w:val="02934EC9"/>
    <w:rsid w:val="029D33DC"/>
    <w:rsid w:val="02CE7E50"/>
    <w:rsid w:val="03084CFA"/>
    <w:rsid w:val="031F3DF1"/>
    <w:rsid w:val="037759DB"/>
    <w:rsid w:val="03FB03BA"/>
    <w:rsid w:val="065A1D10"/>
    <w:rsid w:val="06B75848"/>
    <w:rsid w:val="06BD2A2B"/>
    <w:rsid w:val="06C74ECC"/>
    <w:rsid w:val="06D849E3"/>
    <w:rsid w:val="07846919"/>
    <w:rsid w:val="07BD6640"/>
    <w:rsid w:val="080F08D8"/>
    <w:rsid w:val="081B54CF"/>
    <w:rsid w:val="08AA23AF"/>
    <w:rsid w:val="08BF22FE"/>
    <w:rsid w:val="08F71A98"/>
    <w:rsid w:val="093F6F9B"/>
    <w:rsid w:val="09776735"/>
    <w:rsid w:val="097E5D15"/>
    <w:rsid w:val="09AB4631"/>
    <w:rsid w:val="0AA854F5"/>
    <w:rsid w:val="0AEA2F37"/>
    <w:rsid w:val="0B27418B"/>
    <w:rsid w:val="0BBF6171"/>
    <w:rsid w:val="0BFE6C9A"/>
    <w:rsid w:val="0D3B3F1D"/>
    <w:rsid w:val="0D71793F"/>
    <w:rsid w:val="0DBE0332"/>
    <w:rsid w:val="0DFC6CA2"/>
    <w:rsid w:val="0E320E7D"/>
    <w:rsid w:val="0EA578A0"/>
    <w:rsid w:val="0EFD148A"/>
    <w:rsid w:val="0FA61182"/>
    <w:rsid w:val="0FE95EB3"/>
    <w:rsid w:val="10354C54"/>
    <w:rsid w:val="104C344F"/>
    <w:rsid w:val="10D20663"/>
    <w:rsid w:val="111B4D7F"/>
    <w:rsid w:val="11FA7885"/>
    <w:rsid w:val="11FC1ECD"/>
    <w:rsid w:val="122431D2"/>
    <w:rsid w:val="124B075F"/>
    <w:rsid w:val="126B7053"/>
    <w:rsid w:val="127E34B8"/>
    <w:rsid w:val="12AF0CEE"/>
    <w:rsid w:val="12DC773D"/>
    <w:rsid w:val="130B7EEE"/>
    <w:rsid w:val="133833D9"/>
    <w:rsid w:val="1360648C"/>
    <w:rsid w:val="13F866C4"/>
    <w:rsid w:val="14131750"/>
    <w:rsid w:val="14157276"/>
    <w:rsid w:val="14643D5A"/>
    <w:rsid w:val="147F2942"/>
    <w:rsid w:val="148D505F"/>
    <w:rsid w:val="14D964F6"/>
    <w:rsid w:val="14E46C49"/>
    <w:rsid w:val="158D108E"/>
    <w:rsid w:val="15997A33"/>
    <w:rsid w:val="15D13671"/>
    <w:rsid w:val="15D171CD"/>
    <w:rsid w:val="15FF01DE"/>
    <w:rsid w:val="16AE5760"/>
    <w:rsid w:val="16D970EE"/>
    <w:rsid w:val="17AB1B1A"/>
    <w:rsid w:val="18AE1A47"/>
    <w:rsid w:val="18DA45EA"/>
    <w:rsid w:val="18EA0330"/>
    <w:rsid w:val="18F356AC"/>
    <w:rsid w:val="190873AA"/>
    <w:rsid w:val="1A361CF4"/>
    <w:rsid w:val="1B1F09DB"/>
    <w:rsid w:val="1B694C32"/>
    <w:rsid w:val="1B965141"/>
    <w:rsid w:val="1B9C7016"/>
    <w:rsid w:val="1BA161D5"/>
    <w:rsid w:val="1BC80358"/>
    <w:rsid w:val="1C146065"/>
    <w:rsid w:val="1C280617"/>
    <w:rsid w:val="1C7B60E4"/>
    <w:rsid w:val="1D365816"/>
    <w:rsid w:val="1DA17DCD"/>
    <w:rsid w:val="1DCA10D2"/>
    <w:rsid w:val="1E960FB4"/>
    <w:rsid w:val="1EE4767F"/>
    <w:rsid w:val="1F3802BD"/>
    <w:rsid w:val="1F4629DA"/>
    <w:rsid w:val="1FBE07C2"/>
    <w:rsid w:val="20542ED4"/>
    <w:rsid w:val="20AD0837"/>
    <w:rsid w:val="20AE6A88"/>
    <w:rsid w:val="214F312A"/>
    <w:rsid w:val="220B7F0B"/>
    <w:rsid w:val="221E7C3E"/>
    <w:rsid w:val="226F3FF6"/>
    <w:rsid w:val="23337719"/>
    <w:rsid w:val="23941E93"/>
    <w:rsid w:val="23983A20"/>
    <w:rsid w:val="23B048C6"/>
    <w:rsid w:val="242D4168"/>
    <w:rsid w:val="247F392A"/>
    <w:rsid w:val="249E0BC2"/>
    <w:rsid w:val="24A563F4"/>
    <w:rsid w:val="24C22B02"/>
    <w:rsid w:val="25535E50"/>
    <w:rsid w:val="257858B7"/>
    <w:rsid w:val="258C4EBE"/>
    <w:rsid w:val="260733C5"/>
    <w:rsid w:val="26C708A4"/>
    <w:rsid w:val="27CE17BE"/>
    <w:rsid w:val="280F766B"/>
    <w:rsid w:val="281C4C20"/>
    <w:rsid w:val="28824F4B"/>
    <w:rsid w:val="28991DCC"/>
    <w:rsid w:val="289C18BC"/>
    <w:rsid w:val="28A95D87"/>
    <w:rsid w:val="28B409B4"/>
    <w:rsid w:val="290C1C1E"/>
    <w:rsid w:val="29143B49"/>
    <w:rsid w:val="292648D0"/>
    <w:rsid w:val="297F6B0C"/>
    <w:rsid w:val="299407E6"/>
    <w:rsid w:val="29986528"/>
    <w:rsid w:val="29C0782D"/>
    <w:rsid w:val="29DF4157"/>
    <w:rsid w:val="2A1A0CEB"/>
    <w:rsid w:val="2A9E191C"/>
    <w:rsid w:val="2B233137"/>
    <w:rsid w:val="2B2A1401"/>
    <w:rsid w:val="2B2F46BC"/>
    <w:rsid w:val="2B404781"/>
    <w:rsid w:val="2B606BD1"/>
    <w:rsid w:val="2B6E1EC4"/>
    <w:rsid w:val="2B6E2239"/>
    <w:rsid w:val="2C3D2D9F"/>
    <w:rsid w:val="2CC43190"/>
    <w:rsid w:val="2CDD4252"/>
    <w:rsid w:val="2D574004"/>
    <w:rsid w:val="2D83129D"/>
    <w:rsid w:val="2DCC49F2"/>
    <w:rsid w:val="2E89643F"/>
    <w:rsid w:val="2EB3435C"/>
    <w:rsid w:val="2ED33B5E"/>
    <w:rsid w:val="2EFE0BDB"/>
    <w:rsid w:val="2F520F27"/>
    <w:rsid w:val="2F8A06C1"/>
    <w:rsid w:val="2FB83480"/>
    <w:rsid w:val="3032158E"/>
    <w:rsid w:val="30535FE9"/>
    <w:rsid w:val="3071362F"/>
    <w:rsid w:val="309F1F4A"/>
    <w:rsid w:val="30B579BF"/>
    <w:rsid w:val="313F54DB"/>
    <w:rsid w:val="315A40C3"/>
    <w:rsid w:val="31D2634F"/>
    <w:rsid w:val="328119CD"/>
    <w:rsid w:val="329D695D"/>
    <w:rsid w:val="32A221C5"/>
    <w:rsid w:val="32B36180"/>
    <w:rsid w:val="32BB0850"/>
    <w:rsid w:val="336003DF"/>
    <w:rsid w:val="342E36CC"/>
    <w:rsid w:val="344A6670"/>
    <w:rsid w:val="34CE72A2"/>
    <w:rsid w:val="36415851"/>
    <w:rsid w:val="36853990"/>
    <w:rsid w:val="3780389B"/>
    <w:rsid w:val="37DE77FC"/>
    <w:rsid w:val="38740160"/>
    <w:rsid w:val="38EE1CC0"/>
    <w:rsid w:val="390B530C"/>
    <w:rsid w:val="395A4DD8"/>
    <w:rsid w:val="39D864CC"/>
    <w:rsid w:val="3A54365D"/>
    <w:rsid w:val="3BA52E39"/>
    <w:rsid w:val="3BFF5F92"/>
    <w:rsid w:val="3C337FBC"/>
    <w:rsid w:val="3CA52FDE"/>
    <w:rsid w:val="3CBA010B"/>
    <w:rsid w:val="3D3659E4"/>
    <w:rsid w:val="3D673DEF"/>
    <w:rsid w:val="3D6A7D83"/>
    <w:rsid w:val="3DA1204F"/>
    <w:rsid w:val="3E0356E5"/>
    <w:rsid w:val="3E546A69"/>
    <w:rsid w:val="3E95498C"/>
    <w:rsid w:val="3EA9465A"/>
    <w:rsid w:val="3EBB7322"/>
    <w:rsid w:val="3ED951C1"/>
    <w:rsid w:val="3EE576C2"/>
    <w:rsid w:val="3F942E96"/>
    <w:rsid w:val="40DB1BD1"/>
    <w:rsid w:val="41943621"/>
    <w:rsid w:val="420662CD"/>
    <w:rsid w:val="426C1EA8"/>
    <w:rsid w:val="42E63A08"/>
    <w:rsid w:val="42F06635"/>
    <w:rsid w:val="434A3F97"/>
    <w:rsid w:val="43B6787E"/>
    <w:rsid w:val="443F1622"/>
    <w:rsid w:val="44B30262"/>
    <w:rsid w:val="450A0588"/>
    <w:rsid w:val="45174765"/>
    <w:rsid w:val="451900C5"/>
    <w:rsid w:val="452B429C"/>
    <w:rsid w:val="45442C68"/>
    <w:rsid w:val="45525385"/>
    <w:rsid w:val="456C1406"/>
    <w:rsid w:val="45A3237D"/>
    <w:rsid w:val="45BF1B3C"/>
    <w:rsid w:val="45EE3E2D"/>
    <w:rsid w:val="46A30795"/>
    <w:rsid w:val="47500770"/>
    <w:rsid w:val="48D419D9"/>
    <w:rsid w:val="49AD702E"/>
    <w:rsid w:val="49BA799D"/>
    <w:rsid w:val="49E50EBD"/>
    <w:rsid w:val="4ACA61F8"/>
    <w:rsid w:val="4B5856BF"/>
    <w:rsid w:val="4B8169C4"/>
    <w:rsid w:val="4C120231"/>
    <w:rsid w:val="4C670039"/>
    <w:rsid w:val="4C673E0C"/>
    <w:rsid w:val="4CAC3C95"/>
    <w:rsid w:val="4CE10E18"/>
    <w:rsid w:val="4D043409"/>
    <w:rsid w:val="4D5B4FF3"/>
    <w:rsid w:val="4E597784"/>
    <w:rsid w:val="4EEC684A"/>
    <w:rsid w:val="4F4421E2"/>
    <w:rsid w:val="4F9312DC"/>
    <w:rsid w:val="4FA40ED3"/>
    <w:rsid w:val="4FA7451F"/>
    <w:rsid w:val="4FD84D96"/>
    <w:rsid w:val="502618E8"/>
    <w:rsid w:val="5052092F"/>
    <w:rsid w:val="506F328F"/>
    <w:rsid w:val="5086682B"/>
    <w:rsid w:val="508A00C9"/>
    <w:rsid w:val="50A57DCA"/>
    <w:rsid w:val="50CD6207"/>
    <w:rsid w:val="50F43794"/>
    <w:rsid w:val="513E2C61"/>
    <w:rsid w:val="51491D32"/>
    <w:rsid w:val="51956D25"/>
    <w:rsid w:val="519A258E"/>
    <w:rsid w:val="51BD002A"/>
    <w:rsid w:val="5268268C"/>
    <w:rsid w:val="528B637A"/>
    <w:rsid w:val="533B56AA"/>
    <w:rsid w:val="541A79B6"/>
    <w:rsid w:val="546E3307"/>
    <w:rsid w:val="547F1F0F"/>
    <w:rsid w:val="54800EBA"/>
    <w:rsid w:val="54E65AEA"/>
    <w:rsid w:val="55482300"/>
    <w:rsid w:val="55885708"/>
    <w:rsid w:val="55BB0531"/>
    <w:rsid w:val="56D4209E"/>
    <w:rsid w:val="570A3D11"/>
    <w:rsid w:val="57416605"/>
    <w:rsid w:val="57D8796C"/>
    <w:rsid w:val="57DF519E"/>
    <w:rsid w:val="58535244"/>
    <w:rsid w:val="5946289B"/>
    <w:rsid w:val="59CD7278"/>
    <w:rsid w:val="5A2C3F9F"/>
    <w:rsid w:val="5A64198B"/>
    <w:rsid w:val="5B595267"/>
    <w:rsid w:val="5BE03293"/>
    <w:rsid w:val="5BE61256"/>
    <w:rsid w:val="5CF07506"/>
    <w:rsid w:val="5D041D1A"/>
    <w:rsid w:val="5D3A69D3"/>
    <w:rsid w:val="5D740137"/>
    <w:rsid w:val="5DB06C95"/>
    <w:rsid w:val="5DCA5FA9"/>
    <w:rsid w:val="5DCC6AFE"/>
    <w:rsid w:val="5DDB6408"/>
    <w:rsid w:val="5E643093"/>
    <w:rsid w:val="5E826883"/>
    <w:rsid w:val="5E954808"/>
    <w:rsid w:val="5E9C63D1"/>
    <w:rsid w:val="5F116B44"/>
    <w:rsid w:val="5FB40CBE"/>
    <w:rsid w:val="5FD8412C"/>
    <w:rsid w:val="60172FFB"/>
    <w:rsid w:val="60326087"/>
    <w:rsid w:val="60427C06"/>
    <w:rsid w:val="606F4BE5"/>
    <w:rsid w:val="60765F74"/>
    <w:rsid w:val="6109328C"/>
    <w:rsid w:val="61F061FA"/>
    <w:rsid w:val="62682234"/>
    <w:rsid w:val="63002A1F"/>
    <w:rsid w:val="637C7D45"/>
    <w:rsid w:val="63A92490"/>
    <w:rsid w:val="63B15515"/>
    <w:rsid w:val="63C2492F"/>
    <w:rsid w:val="63F94D40"/>
    <w:rsid w:val="64FB113D"/>
    <w:rsid w:val="65053D6A"/>
    <w:rsid w:val="650C6EA7"/>
    <w:rsid w:val="6572117F"/>
    <w:rsid w:val="659375C8"/>
    <w:rsid w:val="65AB66C0"/>
    <w:rsid w:val="65F30067"/>
    <w:rsid w:val="665C20B0"/>
    <w:rsid w:val="668F1B3D"/>
    <w:rsid w:val="673E5311"/>
    <w:rsid w:val="67EB5499"/>
    <w:rsid w:val="67F0485E"/>
    <w:rsid w:val="68190258"/>
    <w:rsid w:val="682269E1"/>
    <w:rsid w:val="68662D72"/>
    <w:rsid w:val="69230C63"/>
    <w:rsid w:val="69603C65"/>
    <w:rsid w:val="6AE308EF"/>
    <w:rsid w:val="6B07083C"/>
    <w:rsid w:val="6B2018FE"/>
    <w:rsid w:val="6B715CB5"/>
    <w:rsid w:val="6B852741"/>
    <w:rsid w:val="6BC524A5"/>
    <w:rsid w:val="6C264CF2"/>
    <w:rsid w:val="6C3D203B"/>
    <w:rsid w:val="6CC87B57"/>
    <w:rsid w:val="6D3E41FC"/>
    <w:rsid w:val="6D631F76"/>
    <w:rsid w:val="6DDF5B5A"/>
    <w:rsid w:val="6E0E1EE1"/>
    <w:rsid w:val="6E470F4F"/>
    <w:rsid w:val="6E8B1784"/>
    <w:rsid w:val="6EED1AF7"/>
    <w:rsid w:val="6F011A46"/>
    <w:rsid w:val="6F045C56"/>
    <w:rsid w:val="6F0D7E9E"/>
    <w:rsid w:val="6FB2689C"/>
    <w:rsid w:val="6FEC6252"/>
    <w:rsid w:val="6FF2313D"/>
    <w:rsid w:val="701D28B0"/>
    <w:rsid w:val="70785D38"/>
    <w:rsid w:val="70883BA0"/>
    <w:rsid w:val="70DD5B9B"/>
    <w:rsid w:val="710D46D2"/>
    <w:rsid w:val="72077373"/>
    <w:rsid w:val="72294059"/>
    <w:rsid w:val="72405F70"/>
    <w:rsid w:val="7275252F"/>
    <w:rsid w:val="72930C07"/>
    <w:rsid w:val="73DE5EB2"/>
    <w:rsid w:val="740718AD"/>
    <w:rsid w:val="744E128A"/>
    <w:rsid w:val="75F96FD3"/>
    <w:rsid w:val="765E777E"/>
    <w:rsid w:val="76C72E0C"/>
    <w:rsid w:val="775D7A36"/>
    <w:rsid w:val="779A6594"/>
    <w:rsid w:val="77A967D7"/>
    <w:rsid w:val="78283BA0"/>
    <w:rsid w:val="782B3690"/>
    <w:rsid w:val="783315DD"/>
    <w:rsid w:val="78430F34"/>
    <w:rsid w:val="793C27A7"/>
    <w:rsid w:val="7B3311D9"/>
    <w:rsid w:val="7BA75723"/>
    <w:rsid w:val="7C1F52BA"/>
    <w:rsid w:val="7C4023F9"/>
    <w:rsid w:val="7C541407"/>
    <w:rsid w:val="7C920181"/>
    <w:rsid w:val="7CCA0D4A"/>
    <w:rsid w:val="7D3B4375"/>
    <w:rsid w:val="7D472D1A"/>
    <w:rsid w:val="7D4A3064"/>
    <w:rsid w:val="7D8B70AB"/>
    <w:rsid w:val="7E16455B"/>
    <w:rsid w:val="7E3C2153"/>
    <w:rsid w:val="7E551467"/>
    <w:rsid w:val="7F076C05"/>
    <w:rsid w:val="7F54171E"/>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qFormat/>
    <w:uiPriority w:val="0"/>
    <w:pPr>
      <w:snapToGrid w:val="0"/>
      <w:jc w:val="left"/>
    </w:pPr>
    <w:rPr>
      <w:sz w:val="18"/>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1829</Words>
  <Characters>1855</Characters>
  <Lines>0</Lines>
  <Paragraphs>0</Paragraphs>
  <TotalTime>9</TotalTime>
  <ScaleCrop>false</ScaleCrop>
  <LinksUpToDate>false</LinksUpToDate>
  <CharactersWithSpaces>2070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2023-08-02T06:59:00Z</dcterms:created>
  <dc:creator>wxm</dc:creator>
  <cp:lastModifiedBy>DeerLizzy</cp:lastModifiedBy>
  <cp:lastPrinted>2025-01-10T01:21:00Z</cp:lastPrinted>
  <dcterms:modified xsi:type="dcterms:W3CDTF">2025-01-10T01:27:44Z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135E8A10A90B493E8C249CEF54FE0123_13</vt:lpwstr>
  </property>
  <property fmtid="{D5CDD505-2E9C-101B-9397-08002B2CF9AE}" pid="4" name="KSOTemplateDocerSaveRecord">
    <vt:lpwstr>eyJoZGlkIjoiOGJhMDAyZmUyNDNkY2Y0NTA2MjYzZjllMDIxYzNiNjciLCJ1c2VySWQiOiIxMjQzMDUwNDE1In0=</vt:lpwstr>
  </property>
</Properties>
</file>