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  <w:color w:val="000000" w:themeColor="text1"/>
          <w:szCs w:val="32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:lang w:eastAsia="zh-Hans" w:bidi="ar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苏州市数据创新应用实验室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申报指南</w:t>
      </w:r>
    </w:p>
    <w:p>
      <w:pPr>
        <w:pStyle w:val="2"/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要求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（一）申报</w:t>
      </w:r>
      <w:r>
        <w:rPr>
          <w:rFonts w:hint="default" w:ascii="Times New Roman" w:hAnsi="Times New Roman" w:eastAsia="楷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主体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bookmarkStart w:id="0" w:name="_Hlk131508945"/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注册地和主要办公场所设在苏州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大市范围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内，具有数据应用相关领域研究能力，近三年未发生数据安全、知识产权及违法失信等不良行为的相关企事业单位或社会组织。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（二）申报方式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允许上述单位单独申报或者与具有</w:t>
      </w:r>
      <w:bookmarkStart w:id="1" w:name="_Hlk131508972"/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较强数据应用研究能力的各类高水平</w:t>
      </w:r>
      <w:bookmarkEnd w:id="1"/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单位联合申报。所有申报单位同一批次的联合申报次数均不能超过3次。每个实验室可填写一个主要申报方向和不超过两个次要申报方向。</w:t>
      </w:r>
    </w:p>
    <w:bookmarkEnd w:id="0"/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（三）申报方向</w:t>
      </w:r>
    </w:p>
    <w:p>
      <w:pPr>
        <w:pStyle w:val="2"/>
        <w:spacing w:line="560" w:lineRule="exact"/>
        <w:ind w:firstLine="592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0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pacing w:val="-2"/>
          <w:szCs w:val="30"/>
          <w14:textFill>
            <w14:solidFill>
              <w14:schemeClr w14:val="tx1"/>
            </w14:solidFill>
          </w14:textFill>
        </w:rPr>
        <w:t>、数字</w:t>
      </w:r>
      <w:r>
        <w:rPr>
          <w:rFonts w:hint="default" w:ascii="Times New Roman" w:hAnsi="Times New Roman" w:cs="Times New Roman"/>
          <w:color w:val="000000" w:themeColor="text1"/>
          <w:spacing w:val="-2"/>
          <w:szCs w:val="30"/>
          <w:lang w:eastAsia="zh-Hans"/>
          <w14:textFill>
            <w14:solidFill>
              <w14:schemeClr w14:val="tx1"/>
            </w14:solidFill>
          </w14:textFill>
        </w:rPr>
        <w:t>关键技术突破。面向</w:t>
      </w:r>
      <w:r>
        <w:rPr>
          <w:rFonts w:hint="default" w:ascii="Times New Roman" w:hAnsi="Times New Roman" w:cs="Times New Roman"/>
          <w:sz w:val="32"/>
          <w:szCs w:val="32"/>
        </w:rPr>
        <w:t>云边端计算技术协同发展，形成适应数据规模汇聚、实时分析和智能应用的计算服务能力。面向人工智能发展，提升数据采集、治理、应用的智能化水平。强化数据标注、数据合成等核心技术攻关，加快区块链、隐私计算等可信流通技术研发和应用推广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数据流通利用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提速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szCs w:val="32"/>
        </w:rPr>
        <w:t>鼓励探索多元化数据流通利用方式，发展数据经纪、数据托管等新业态、新模式，提升供需匹配效率。探索元数据、主数据等基础性、通用性数据标准建设。提供数据综合治理和质量评测服务，促进提升数据资源质量。从推动业务增长和创新发展出发，探索数据资源化、产品化、价值化、资产化的可行路径。</w:t>
      </w:r>
    </w:p>
    <w:p>
      <w:pPr>
        <w:pStyle w:val="2"/>
        <w:spacing w:line="560" w:lineRule="exact"/>
        <w:ind w:firstLine="592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数据治理体系深化。鼓励使用</w:t>
      </w:r>
      <w:r>
        <w:rPr>
          <w:rFonts w:hint="default" w:ascii="Times New Roman" w:hAnsi="Times New Roman" w:cs="Times New Roman"/>
          <w:sz w:val="32"/>
          <w:szCs w:val="32"/>
        </w:rPr>
        <w:t>云计算、边缘计算、大数据分析等平台服务，开发和使用智能化工具</w:t>
      </w:r>
      <w:r>
        <w:rPr>
          <w:rFonts w:hint="default" w:ascii="Times New Roman" w:hAnsi="Times New Roman" w:cs="Times New Roman"/>
          <w:szCs w:val="32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建立覆盖研发、生产、销售、服务、管理等各环节的数据资源体系</w:t>
      </w:r>
      <w:r>
        <w:rPr>
          <w:rFonts w:hint="default" w:ascii="Times New Roman" w:hAnsi="Times New Roman" w:cs="Times New Roman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支持人工智能技术在自动化数据处理、数据标注、模型构建、预测分析等领域的应用。采用数据空间、区块链、隐私计算、匿名化等技术模式，促进数据安全流动和开发利用。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数字安全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创新应用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创新数据安全产品服务，支持数据加密、防勒索、容灾备份、数据冗余等技术产品推广应用，加强多因子身份认证、端到端加密、零信任安全等技术创新。加强动态数据安全保障，加快突破数据空间、区块链、隐私计算、匿名化等数据可信流通技术，发展数据安全监测预警、数据合规检测、人工智能数据安全等服务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赋能数字经济发展。</w:t>
      </w:r>
      <w:r>
        <w:rPr>
          <w:rFonts w:hint="default" w:ascii="Times New Roman" w:hAnsi="Times New Roman" w:cs="Times New Roman"/>
          <w:sz w:val="32"/>
          <w:szCs w:val="32"/>
        </w:rPr>
        <w:t>利用现代信息技术对数据资源进行产品或服务开发，并推动其流通应用；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利用新质生产力拓展新消费，培育新业态，打造新品牌，推进国际化，</w:t>
      </w:r>
      <w:r>
        <w:rPr>
          <w:rFonts w:hint="default" w:ascii="Times New Roman" w:hAnsi="Times New Roman" w:cs="Times New Roman"/>
          <w:sz w:val="32"/>
          <w:szCs w:val="32"/>
        </w:rPr>
        <w:t>催生一批数智应用新产品、新服务、新业态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，推动</w:t>
      </w:r>
      <w:r>
        <w:rPr>
          <w:rFonts w:hint="default" w:ascii="Times New Roman" w:hAnsi="Times New Roman" w:cs="Times New Roman"/>
          <w:sz w:val="32"/>
          <w:szCs w:val="32"/>
        </w:rPr>
        <w:t>数据产业综合实力显著增强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工业制造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培育数据驱动型产品研发新模式，推进产品主数据标准生态系统建设，支持整合设计、生产、运行数据，强化区域联动，支持数据流通，开发使能技术，推动制造业数据多场景复用。提升预测性维护、增值服务、产业链供应链监测预警等能力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7、现代农业应用创新。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支持融合分析应用遥感、气象、土壤、市场、产地、质检等数据，打造以数据和模型为支撑的农业数智化场景，推进产业链融通创新，培育以需定产新模式。提升农业生产数智化水平，提高农产品供需匹配、农产品追溯管理和农业生产抗风险能力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商贸流通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优化配置产业链资源，打造集数据收集、分析、决策、精准推送和动态反馈的闭环消费生态，培育数字生活消费方式，培育新业态，打造快速响应市场的产业协同创新生态，支撑提升供应链综合服务、跨境身份认证、全球供应链融资等能力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交通运输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应用创新。推动货运数据共享互认、航运贸易数据可信融合应用。支持卫星遥感、定位导航、气象、航运作业数据融合，挖掘数据复用价值，支持交通运输龙头企业等相关单位推进高质量数据集建设和复用，加强人工智能工具应用，助力提升运输效率。推进智能网联汽车创新发展，提高智能汽车创新服务、主动安全防控等水平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10、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金融</w:t>
      </w: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服务应用创新。</w:t>
      </w:r>
      <w:bookmarkStart w:id="2" w:name="_Hlk181624607"/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在依法安全合规前提下，优化信贷业务管理和保险产品设计及承保理赔服务，推动金融信用数据和公共信用数据、商业信用数据共享共用和高效流通，发挥金融科技和数据要素的驱动作用，提升实体经济金融服务水平与金融抗风险能力。</w:t>
      </w:r>
    </w:p>
    <w:bookmarkEnd w:id="2"/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11、赋能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科技创新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发展。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推动科学数据有序开放共享，以科学数据助力前沿研究、支持技术创新、支持大模型开发，聚焦新材料创制、药物研发等领域，建设高质量语料库和基础科学数据集，支持开展人工智能大模型开发和训练，强化科学数据资源建设和场景应用。</w:t>
      </w:r>
    </w:p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12、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文化旅游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推动文化旅游数据资源依法开放共享和交易流通，加强数据的开发利用，挖掘数据价值，鼓励开发文化旅游大模型。提升文物保护利用和旅游服务水平，提高旅游治理能力。</w:t>
      </w:r>
    </w:p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医疗健康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bookmarkStart w:id="3" w:name="_Hlk181625673"/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创新基于数据驱动的公共服务模式，支持医疗数据融合创新，拓展智慧医疗、智能健康管理等数据应用新模式新业态，提升中医药发展水平，有序释放健康医疗数据价值。</w:t>
      </w:r>
    </w:p>
    <w:bookmarkEnd w:id="3"/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14、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应急管理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bookmarkStart w:id="4" w:name="_Hlk181626087"/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探索利用电力、通信、遥感等数据，实现对行业的智能监测。鼓励研发自然灾害灾情检测评估模型，提升自然灾害监测评估能力与应急协调共享能力。</w:t>
      </w:r>
    </w:p>
    <w:bookmarkEnd w:id="4"/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15、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气象服务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支持气象数据与经济社会、生态环境、自然资源、农业农村、城市建设等数据融合应用，实现气候变化风险智能决策新模式。创新气象数据产品服务，支持新能源企业降本增效。</w:t>
      </w:r>
    </w:p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城市治理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应用创新。</w:t>
      </w: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推动城市多维度数据融通，支撑公共卫生、交通管理、体育赛事等领域场景应用。助力城市规划、建设、管理、服务等策略精细化、智能化。深化公共数据的共享应用，推进公共服务普惠化。加强区域协同治理，推动数据打通和业务协同，实现服务事项跨城通办。</w:t>
      </w:r>
    </w:p>
    <w:p>
      <w:pPr>
        <w:pStyle w:val="8"/>
        <w:widowControl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17、绿色低碳应用创新。推进气象、水利、交通、电力、碳足迹等数据融合应用，加强生态环境与公共数据、制造与能源数</w:t>
      </w:r>
      <w:r>
        <w:rPr>
          <w:rFonts w:hint="default" w:ascii="Times New Roman" w:hAnsi="Times New Roman" w:cs="Times New Roman"/>
          <w:sz w:val="32"/>
          <w:szCs w:val="32"/>
        </w:rPr>
        <w:t>据融合创新，引导企业节能降碳，提升能源利用和废弃资源利用效率，提高生态环境治理精细化和碳排放管理水平。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（四）建设目标及任务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制定实验室建设方案，明确主要研究领域和次要研究领域（如有），提出建设目标、重点任务及期间计划完成的任务指标。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完善组织保障，申报主体需为实验室建设合理配备场地、资金、团队等必要资源，提供充足保障。鼓励实验室充分利用苏州市数联网和数据空间等数据基础设施，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对接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利用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公共算力。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保障数据安全，采用安全可靠的技术手段，切实加强数据安全管理，建立数据安全应急机制及应急预案。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聚焦研究任务及重点，重视成果转化，实验室应充分利用自身研究能力优势，注重场景、算法、数据、产品等各种形式的成果产出与转化，力争在建设期内每年至少完成一个与数据创新应用、人工智能研究相关的报告、项目或案例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lang w:eastAsia="zh-Hans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鼓励实验室</w:t>
      </w:r>
      <w:r>
        <w:rPr>
          <w:rFonts w:hint="default" w:ascii="Times New Roman" w:hAnsi="Times New Roman" w:cs="Times New Roman"/>
          <w:lang w:eastAsia="zh-Hans"/>
        </w:rPr>
        <w:t>在关键行业领域推动数据驱动的人工智能创新应用。</w:t>
      </w:r>
      <w:r>
        <w:rPr>
          <w:rFonts w:hint="default" w:ascii="Times New Roman" w:hAnsi="Times New Roman" w:cs="Times New Roman"/>
          <w:szCs w:val="32"/>
        </w:rPr>
        <w:t>面向行业共性价值场景需求，</w:t>
      </w:r>
      <w:r>
        <w:rPr>
          <w:rFonts w:hint="default" w:ascii="Times New Roman" w:hAnsi="Times New Roman" w:cs="Times New Roman"/>
          <w:lang w:eastAsia="zh-Hans"/>
        </w:rPr>
        <w:t>联合共建数据空间，发布人工智能研究成果，建设开放性行业训练、标准测试等数据集，促进人工智能技术的发展和应用。支持申报国家试点工程。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申报条件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申报主体应当具有较强的创新能力，管理科学、高效精干，能够承担建设和管理实验室的责任，为实验室运行提供必要的技术支撑、后勤保障及相应经费。同时还须满足以下条件：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（一）具有相对固定的研究团队，长期从事本领域研究，主要研究方向和领域具有明显优势或特色，具有较强的科研、创新实力。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（二）在行业领域中具有优势或主导地位，有能力推动行业数据应用的创新，提升行业效率和质量。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（三）具备较强的数据安全管理能力，能够采用安全可靠的技术手段，建立数据安全应急机制及应急预案。</w:t>
      </w:r>
    </w:p>
    <w:p>
      <w:pPr>
        <w:pStyle w:val="2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（四）正在承担或者承担过数据创新应用或人工智能领域的相关研究项目，有相关研究的获奖成果或发明专利，未来能够对经济社会具有积极推动作用。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三、认定标准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认定挂牌的数据创新应用实验室应具备下列基本条件：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一）制定实验室发展规划：申报主体已编制创新项目未来2年发展规划，明确有技术攻关、知识产权、资金投入方式、成果场景化应用等实质内容，发展思路清晰，规划切实可行，中长期发展目标明确，措施具体得当；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（二）实验室团队人员配置应不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少于15人，其中具有副高职称或硕士学位及以上的科研人员不少于3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人，实验室成员近三年参与过实验室研究方向相关的研究项目；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（三）具备良好的科研设施和仪器设备等实验条件以及固定的实验场所；具备良好的科学研究和学术交流条件，有健全的管理体制和运行机制；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（四）申报主体满足申报指南中的其他条件。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四、申报流程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（一）申报。申报主体（高校可以相关专业二级学院名义申报）应按照申报要求，认真填写《苏州市数据创新应用实验室申报表》，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于2024年12月</w:t>
      </w:r>
      <w:r>
        <w:rPr>
          <w:rFonts w:hint="eastAsia" w:ascii="Times New Roman" w:hAnsi="Times New Roman" w:cs="Times New Roman"/>
          <w:spacing w:val="-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日17点前将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申报材料电子版（加盖公章的PDF版本与可编辑word版本）及纸质版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（加盖公章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一式两份）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提交至申报主体注册地所属板块的数据局；若申报主体为市级事业单位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或其他社会组织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，支持提交至上级业务主管部门；若申报主体为市级以上事业单位或社会组织，支持直接提交至市数据局。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（二）初审及推荐。各板块数据局或者市各相关部门对申报主体提交的材料进行初审，审查材料的完整性、真实性及有效性，并择优进行推荐。原则上各板块数据局推荐不超过3家。 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以上部门形成书面推荐意见，并加盖公章，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于2024年12月</w:t>
      </w:r>
      <w:r>
        <w:rPr>
          <w:rFonts w:hint="eastAsia" w:ascii="Times New Roman" w:hAnsi="Times New Roman" w:cs="Times New Roman"/>
          <w:spacing w:val="-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日17点前将申报材料电子版（加盖公章的PDF版本与可编辑word版本）提交至邮箱bdcxyy@xxzx.suzhou.gov.cn，申报材料纸质版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（加盖公章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14:textFill>
            <w14:solidFill>
              <w14:schemeClr w14:val="tx1"/>
            </w14:solidFill>
          </w14:textFill>
        </w:rPr>
        <w:t>一式两份）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于2024年12月</w:t>
      </w:r>
      <w:r>
        <w:rPr>
          <w:rFonts w:hint="eastAsia" w:ascii="Times New Roman" w:hAnsi="Times New Roman" w:cs="Times New Roman"/>
          <w:spacing w:val="-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日17点前递交至</w:t>
      </w:r>
      <w:r>
        <w:rPr>
          <w:rFonts w:hint="default" w:ascii="Times New Roman" w:hAnsi="Times New Roman" w:cs="Times New Roman"/>
          <w:spacing w:val="-2"/>
          <w:szCs w:val="32"/>
        </w:rPr>
        <w:t>苏州市姑苏区平泷路251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城市生活广场</w:t>
      </w:r>
      <w:r>
        <w:rPr>
          <w:rFonts w:hint="default" w:ascii="Times New Roman" w:hAnsi="Times New Roman" w:cs="Times New Roman"/>
          <w:spacing w:val="-2"/>
          <w:szCs w:val="32"/>
        </w:rPr>
        <w:t>A座423室。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（三）评审。市数据局将组织专家，采取会议评审或函件评审方式，对推荐过来的申报材料进行评估审核，根据评审结果提出实验室拟入选名单。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（四）公示。对拟入选名单在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val="en-US" w:eastAsia="zh-CN"/>
          <w14:textFill>
            <w14:solidFill>
              <w14:schemeClr w14:val="tx1"/>
            </w14:solidFill>
          </w14:textFill>
        </w:rPr>
        <w:t>苏州政务服务、苏州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大数据发布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val="en-US" w:eastAsia="zh-CN"/>
          <w14:textFill>
            <w14:solidFill>
              <w14:schemeClr w14:val="tx1"/>
            </w14:solidFill>
          </w14:textFill>
        </w:rPr>
        <w:t>微信</w:t>
      </w:r>
      <w:bookmarkStart w:id="6" w:name="_GoBack"/>
      <w:bookmarkEnd w:id="6"/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val="en-US" w:eastAsia="zh-CN"/>
          <w14:textFill>
            <w14:solidFill>
              <w14:schemeClr w14:val="tx1"/>
            </w14:solidFill>
          </w14:textFill>
        </w:rPr>
        <w:t>公众号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、苏商通及苏周到等端口公示，公示期为</w:t>
      </w:r>
      <w:r>
        <w:rPr>
          <w:rFonts w:hint="eastAsia" w:ascii="Times New Roman" w:hAnsi="Times New Roman" w:cs="Times New Roman"/>
          <w:color w:val="000000" w:themeColor="text1"/>
          <w:spacing w:val="-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个工作日。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（五）授牌。</w:t>
      </w:r>
      <w:bookmarkStart w:id="5" w:name="_Hlk131508488"/>
      <w:r>
        <w:rPr>
          <w:rFonts w:hint="default" w:ascii="Times New Roman" w:hAnsi="Times New Roman" w:cs="Times New Roman"/>
          <w:color w:val="000000" w:themeColor="text1"/>
          <w:spacing w:val="-2"/>
          <w:szCs w:val="32"/>
          <w:lang w:eastAsia="zh-Hans"/>
          <w14:textFill>
            <w14:solidFill>
              <w14:schemeClr w14:val="tx1"/>
            </w14:solidFill>
          </w14:textFill>
        </w:rPr>
        <w:t>公示无异议后，正式对外公布，由市数据局统一授牌，有效期两年。</w:t>
      </w:r>
      <w:bookmarkEnd w:id="5"/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五、支持保障</w:t>
      </w:r>
    </w:p>
    <w:p>
      <w:pPr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spacing w:val="-2"/>
          <w:szCs w:val="32"/>
          <w:lang w:eastAsia="zh-Hans"/>
        </w:rPr>
      </w:pP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市数据局会同各</w:t>
      </w:r>
      <w:r>
        <w:rPr>
          <w:rFonts w:hint="default" w:ascii="Times New Roman" w:hAnsi="Times New Roman" w:cs="Times New Roman"/>
          <w:spacing w:val="-2"/>
          <w:szCs w:val="32"/>
        </w:rPr>
        <w:t>板块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数据局、相关业务主管部门共同指导实验室建设，共同组织开展场景建设、数据开发利用、交流培训等活动</w:t>
      </w:r>
      <w:r>
        <w:rPr>
          <w:rFonts w:hint="default" w:ascii="Times New Roman" w:hAnsi="Times New Roman" w:cs="Times New Roman"/>
          <w:spacing w:val="-2"/>
          <w:szCs w:val="32"/>
        </w:rPr>
        <w:t>，协调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实验室数据、算力、场地、设备等资源供给，支持实验室成果转化</w:t>
      </w:r>
      <w:r>
        <w:rPr>
          <w:rFonts w:hint="default" w:ascii="Times New Roman" w:hAnsi="Times New Roman" w:cs="Times New Roman"/>
          <w:spacing w:val="-2"/>
          <w:szCs w:val="32"/>
        </w:rPr>
        <w:t>。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支持实验室参加“数据要素</w:t>
      </w:r>
      <w:r>
        <w:rPr>
          <w:rFonts w:hint="default" w:ascii="Times New Roman" w:hAnsi="Times New Roman" w:cs="Times New Roman"/>
          <w:spacing w:val="-2"/>
          <w:szCs w:val="32"/>
        </w:rPr>
        <w:t>×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”大赛、“数据要素</w:t>
      </w:r>
      <w:r>
        <w:rPr>
          <w:rFonts w:hint="default" w:ascii="Times New Roman" w:hAnsi="Times New Roman" w:cs="Times New Roman"/>
          <w:spacing w:val="-2"/>
          <w:szCs w:val="32"/>
        </w:rPr>
        <w:t>×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”典型案例</w:t>
      </w:r>
      <w:r>
        <w:rPr>
          <w:rFonts w:hint="default" w:ascii="Times New Roman" w:hAnsi="Times New Roman" w:cs="Times New Roman"/>
          <w:spacing w:val="-2"/>
          <w:szCs w:val="32"/>
        </w:rPr>
        <w:t>评选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以及其他</w:t>
      </w:r>
      <w:r>
        <w:rPr>
          <w:rFonts w:hint="default" w:ascii="Times New Roman" w:hAnsi="Times New Roman" w:cs="Times New Roman"/>
          <w:spacing w:val="-2"/>
          <w:szCs w:val="32"/>
        </w:rPr>
        <w:t>各类项目、</w:t>
      </w:r>
      <w:r>
        <w:rPr>
          <w:rFonts w:hint="default" w:ascii="Times New Roman" w:hAnsi="Times New Roman" w:cs="Times New Roman"/>
          <w:spacing w:val="-2"/>
          <w:szCs w:val="32"/>
          <w:lang w:eastAsia="zh-Hans"/>
        </w:rPr>
        <w:t>政策奖励的申报工作。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1DECA-1358-4BEB-A527-0D8951212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39C2D0-49CF-4C7C-AAE5-FA35B9786272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2FD7282-2437-48D5-AD20-6C5E84B841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7FAD21-1218-4B92-A572-8DDA629801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859997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OWMzNDhkYjdlMDU0ZDQzNjdlYWM2Yzg4NjFhZGIifQ=="/>
  </w:docVars>
  <w:rsids>
    <w:rsidRoot w:val="FA3F0B87"/>
    <w:rsid w:val="0000586B"/>
    <w:rsid w:val="000108B4"/>
    <w:rsid w:val="00036BF5"/>
    <w:rsid w:val="00045269"/>
    <w:rsid w:val="00061543"/>
    <w:rsid w:val="00075C82"/>
    <w:rsid w:val="000942B3"/>
    <w:rsid w:val="000A2C66"/>
    <w:rsid w:val="000C7985"/>
    <w:rsid w:val="000C7A96"/>
    <w:rsid w:val="000D32C5"/>
    <w:rsid w:val="000E3665"/>
    <w:rsid w:val="0010181D"/>
    <w:rsid w:val="0011197D"/>
    <w:rsid w:val="0012530C"/>
    <w:rsid w:val="00132474"/>
    <w:rsid w:val="001548C8"/>
    <w:rsid w:val="00165C05"/>
    <w:rsid w:val="00193D51"/>
    <w:rsid w:val="001A7F4E"/>
    <w:rsid w:val="001B0BB1"/>
    <w:rsid w:val="001C0B3F"/>
    <w:rsid w:val="001E31F8"/>
    <w:rsid w:val="002153FF"/>
    <w:rsid w:val="00233957"/>
    <w:rsid w:val="00251ADE"/>
    <w:rsid w:val="00264320"/>
    <w:rsid w:val="00283EB9"/>
    <w:rsid w:val="002B617C"/>
    <w:rsid w:val="002C3DE7"/>
    <w:rsid w:val="002C575E"/>
    <w:rsid w:val="002D048B"/>
    <w:rsid w:val="002D7A67"/>
    <w:rsid w:val="002E0203"/>
    <w:rsid w:val="002E265A"/>
    <w:rsid w:val="003234AF"/>
    <w:rsid w:val="00330266"/>
    <w:rsid w:val="00344BE8"/>
    <w:rsid w:val="003626A1"/>
    <w:rsid w:val="00362DA8"/>
    <w:rsid w:val="003726CF"/>
    <w:rsid w:val="00380D3A"/>
    <w:rsid w:val="003A3940"/>
    <w:rsid w:val="003A39DA"/>
    <w:rsid w:val="003F083E"/>
    <w:rsid w:val="003F2309"/>
    <w:rsid w:val="00413959"/>
    <w:rsid w:val="00420543"/>
    <w:rsid w:val="00427DB1"/>
    <w:rsid w:val="004357A2"/>
    <w:rsid w:val="00467796"/>
    <w:rsid w:val="00485069"/>
    <w:rsid w:val="004974F9"/>
    <w:rsid w:val="004978BC"/>
    <w:rsid w:val="004A0B95"/>
    <w:rsid w:val="004A58B0"/>
    <w:rsid w:val="004B39D0"/>
    <w:rsid w:val="004B5F08"/>
    <w:rsid w:val="004D0E3A"/>
    <w:rsid w:val="004F0F49"/>
    <w:rsid w:val="004F4E92"/>
    <w:rsid w:val="004F79CE"/>
    <w:rsid w:val="00501A62"/>
    <w:rsid w:val="0051181F"/>
    <w:rsid w:val="00520161"/>
    <w:rsid w:val="005356F1"/>
    <w:rsid w:val="00537921"/>
    <w:rsid w:val="00567F36"/>
    <w:rsid w:val="0057045A"/>
    <w:rsid w:val="005C0510"/>
    <w:rsid w:val="005E09BE"/>
    <w:rsid w:val="005F631D"/>
    <w:rsid w:val="005F7510"/>
    <w:rsid w:val="00624A95"/>
    <w:rsid w:val="00630107"/>
    <w:rsid w:val="00631485"/>
    <w:rsid w:val="00657FAC"/>
    <w:rsid w:val="00660D35"/>
    <w:rsid w:val="00661A7B"/>
    <w:rsid w:val="00671674"/>
    <w:rsid w:val="00697538"/>
    <w:rsid w:val="006C1FDE"/>
    <w:rsid w:val="006C3FE1"/>
    <w:rsid w:val="00704560"/>
    <w:rsid w:val="00706092"/>
    <w:rsid w:val="00723B5D"/>
    <w:rsid w:val="007613D6"/>
    <w:rsid w:val="00762FDF"/>
    <w:rsid w:val="007654E2"/>
    <w:rsid w:val="007870ED"/>
    <w:rsid w:val="007873DD"/>
    <w:rsid w:val="007907D3"/>
    <w:rsid w:val="007A757A"/>
    <w:rsid w:val="007C6FA4"/>
    <w:rsid w:val="007F0C19"/>
    <w:rsid w:val="008227E8"/>
    <w:rsid w:val="008324B3"/>
    <w:rsid w:val="008849BA"/>
    <w:rsid w:val="00886EB8"/>
    <w:rsid w:val="008B1A7F"/>
    <w:rsid w:val="008C5FAC"/>
    <w:rsid w:val="008E5770"/>
    <w:rsid w:val="00912F09"/>
    <w:rsid w:val="00913248"/>
    <w:rsid w:val="00914BB0"/>
    <w:rsid w:val="00923537"/>
    <w:rsid w:val="00935DB9"/>
    <w:rsid w:val="00941A79"/>
    <w:rsid w:val="009531AE"/>
    <w:rsid w:val="009567FC"/>
    <w:rsid w:val="00960D19"/>
    <w:rsid w:val="00975B90"/>
    <w:rsid w:val="00983DDA"/>
    <w:rsid w:val="0098471C"/>
    <w:rsid w:val="00993BA3"/>
    <w:rsid w:val="009A2AD2"/>
    <w:rsid w:val="009C315A"/>
    <w:rsid w:val="009F1FD8"/>
    <w:rsid w:val="009F207B"/>
    <w:rsid w:val="00A14B37"/>
    <w:rsid w:val="00A25091"/>
    <w:rsid w:val="00A31E35"/>
    <w:rsid w:val="00A46429"/>
    <w:rsid w:val="00A5171B"/>
    <w:rsid w:val="00A54291"/>
    <w:rsid w:val="00A64FFD"/>
    <w:rsid w:val="00A94C3D"/>
    <w:rsid w:val="00AA4AA2"/>
    <w:rsid w:val="00AB19F2"/>
    <w:rsid w:val="00AB7EB3"/>
    <w:rsid w:val="00AC7DD3"/>
    <w:rsid w:val="00B149CC"/>
    <w:rsid w:val="00B30531"/>
    <w:rsid w:val="00B37CF2"/>
    <w:rsid w:val="00B44004"/>
    <w:rsid w:val="00B47EB6"/>
    <w:rsid w:val="00B53721"/>
    <w:rsid w:val="00B56BA6"/>
    <w:rsid w:val="00BA0C2B"/>
    <w:rsid w:val="00BA39B0"/>
    <w:rsid w:val="00BB5B62"/>
    <w:rsid w:val="00BC3137"/>
    <w:rsid w:val="00BD0B84"/>
    <w:rsid w:val="00BE2710"/>
    <w:rsid w:val="00BF4F98"/>
    <w:rsid w:val="00C0572C"/>
    <w:rsid w:val="00C12185"/>
    <w:rsid w:val="00C1475D"/>
    <w:rsid w:val="00C165B8"/>
    <w:rsid w:val="00C306A4"/>
    <w:rsid w:val="00C52A98"/>
    <w:rsid w:val="00C70D35"/>
    <w:rsid w:val="00C86C63"/>
    <w:rsid w:val="00C96881"/>
    <w:rsid w:val="00CB6789"/>
    <w:rsid w:val="00CD4778"/>
    <w:rsid w:val="00CE457E"/>
    <w:rsid w:val="00CF5500"/>
    <w:rsid w:val="00D0225C"/>
    <w:rsid w:val="00D04CB8"/>
    <w:rsid w:val="00D12187"/>
    <w:rsid w:val="00D17EB9"/>
    <w:rsid w:val="00D40361"/>
    <w:rsid w:val="00D4369C"/>
    <w:rsid w:val="00D554E8"/>
    <w:rsid w:val="00D77B68"/>
    <w:rsid w:val="00D81B3F"/>
    <w:rsid w:val="00D96058"/>
    <w:rsid w:val="00DA0203"/>
    <w:rsid w:val="00DB240F"/>
    <w:rsid w:val="00DC2F14"/>
    <w:rsid w:val="00DC4B88"/>
    <w:rsid w:val="00DD36E8"/>
    <w:rsid w:val="00DE3B39"/>
    <w:rsid w:val="00DF7436"/>
    <w:rsid w:val="00E3370E"/>
    <w:rsid w:val="00E36DA5"/>
    <w:rsid w:val="00E5061C"/>
    <w:rsid w:val="00E5790B"/>
    <w:rsid w:val="00E709E0"/>
    <w:rsid w:val="00E73860"/>
    <w:rsid w:val="00E80C4A"/>
    <w:rsid w:val="00EB0010"/>
    <w:rsid w:val="00EB0C7E"/>
    <w:rsid w:val="00EF1807"/>
    <w:rsid w:val="00EF53E1"/>
    <w:rsid w:val="00F002EC"/>
    <w:rsid w:val="00F00419"/>
    <w:rsid w:val="00F07F62"/>
    <w:rsid w:val="00F6331E"/>
    <w:rsid w:val="00F63651"/>
    <w:rsid w:val="00FA1299"/>
    <w:rsid w:val="00FC53D3"/>
    <w:rsid w:val="00FC6E41"/>
    <w:rsid w:val="01933CA1"/>
    <w:rsid w:val="02344004"/>
    <w:rsid w:val="048765FD"/>
    <w:rsid w:val="04AD3DAA"/>
    <w:rsid w:val="04BE706D"/>
    <w:rsid w:val="050D0ED9"/>
    <w:rsid w:val="055D5DBC"/>
    <w:rsid w:val="07C60C4D"/>
    <w:rsid w:val="0891161B"/>
    <w:rsid w:val="0896429B"/>
    <w:rsid w:val="08EA0DB0"/>
    <w:rsid w:val="095161D6"/>
    <w:rsid w:val="09AB3895"/>
    <w:rsid w:val="0A4C7BC2"/>
    <w:rsid w:val="0B1C1BCC"/>
    <w:rsid w:val="0B626EBA"/>
    <w:rsid w:val="0B6767B1"/>
    <w:rsid w:val="0C013541"/>
    <w:rsid w:val="0C0377C8"/>
    <w:rsid w:val="0C2E7888"/>
    <w:rsid w:val="0D405202"/>
    <w:rsid w:val="0D435FF8"/>
    <w:rsid w:val="0E27016B"/>
    <w:rsid w:val="0E875C90"/>
    <w:rsid w:val="0EEF4E8D"/>
    <w:rsid w:val="10836B11"/>
    <w:rsid w:val="11032387"/>
    <w:rsid w:val="11655896"/>
    <w:rsid w:val="119913DC"/>
    <w:rsid w:val="12306264"/>
    <w:rsid w:val="12490C1A"/>
    <w:rsid w:val="14B879B1"/>
    <w:rsid w:val="15A0233B"/>
    <w:rsid w:val="16722C4F"/>
    <w:rsid w:val="18717FA7"/>
    <w:rsid w:val="18903F75"/>
    <w:rsid w:val="1917583F"/>
    <w:rsid w:val="198A78DD"/>
    <w:rsid w:val="19F93196"/>
    <w:rsid w:val="1AE45BF4"/>
    <w:rsid w:val="1AF377E3"/>
    <w:rsid w:val="1B1E2EB4"/>
    <w:rsid w:val="1C7339BB"/>
    <w:rsid w:val="1D7A45EE"/>
    <w:rsid w:val="1D8D1F09"/>
    <w:rsid w:val="1EEB78C7"/>
    <w:rsid w:val="21001530"/>
    <w:rsid w:val="21867A05"/>
    <w:rsid w:val="21CB1EFE"/>
    <w:rsid w:val="238734D8"/>
    <w:rsid w:val="26A06E73"/>
    <w:rsid w:val="28CF5004"/>
    <w:rsid w:val="29015BC3"/>
    <w:rsid w:val="290D1266"/>
    <w:rsid w:val="29315FA2"/>
    <w:rsid w:val="298D6ED3"/>
    <w:rsid w:val="2A715948"/>
    <w:rsid w:val="2AD532CE"/>
    <w:rsid w:val="2DE33D57"/>
    <w:rsid w:val="2E9A689E"/>
    <w:rsid w:val="308952B0"/>
    <w:rsid w:val="32923D4F"/>
    <w:rsid w:val="338418CB"/>
    <w:rsid w:val="34881F3C"/>
    <w:rsid w:val="37402BA8"/>
    <w:rsid w:val="374567D3"/>
    <w:rsid w:val="398F2FFF"/>
    <w:rsid w:val="3C0C3596"/>
    <w:rsid w:val="3D8E220A"/>
    <w:rsid w:val="3DB80AEF"/>
    <w:rsid w:val="3E4405D4"/>
    <w:rsid w:val="3E7F33BB"/>
    <w:rsid w:val="3F6C7DE3"/>
    <w:rsid w:val="403F7575"/>
    <w:rsid w:val="406B38BC"/>
    <w:rsid w:val="410127AD"/>
    <w:rsid w:val="4218487C"/>
    <w:rsid w:val="43A72075"/>
    <w:rsid w:val="43F7188F"/>
    <w:rsid w:val="44433F0D"/>
    <w:rsid w:val="44753296"/>
    <w:rsid w:val="45CD5CA5"/>
    <w:rsid w:val="45F62922"/>
    <w:rsid w:val="466D2298"/>
    <w:rsid w:val="46F24318"/>
    <w:rsid w:val="48164D90"/>
    <w:rsid w:val="48C536F1"/>
    <w:rsid w:val="490C3E65"/>
    <w:rsid w:val="4A283338"/>
    <w:rsid w:val="4ABE12AD"/>
    <w:rsid w:val="4B8E4629"/>
    <w:rsid w:val="4B966CAF"/>
    <w:rsid w:val="4C411600"/>
    <w:rsid w:val="4D74511D"/>
    <w:rsid w:val="4E0F02B7"/>
    <w:rsid w:val="4E127DA7"/>
    <w:rsid w:val="4FAA3B82"/>
    <w:rsid w:val="50C00528"/>
    <w:rsid w:val="51E065E0"/>
    <w:rsid w:val="52497B10"/>
    <w:rsid w:val="524B0D70"/>
    <w:rsid w:val="53BB2439"/>
    <w:rsid w:val="53F342C8"/>
    <w:rsid w:val="54F20968"/>
    <w:rsid w:val="56B91708"/>
    <w:rsid w:val="5818245E"/>
    <w:rsid w:val="582B248A"/>
    <w:rsid w:val="58627B7D"/>
    <w:rsid w:val="58C919AA"/>
    <w:rsid w:val="58D119A3"/>
    <w:rsid w:val="5A1866DC"/>
    <w:rsid w:val="5A285679"/>
    <w:rsid w:val="5A8B4103"/>
    <w:rsid w:val="5B730F17"/>
    <w:rsid w:val="5D4A529A"/>
    <w:rsid w:val="5F0D61FF"/>
    <w:rsid w:val="614C0B3B"/>
    <w:rsid w:val="63903465"/>
    <w:rsid w:val="63EA73A4"/>
    <w:rsid w:val="64287FBA"/>
    <w:rsid w:val="67C20440"/>
    <w:rsid w:val="6AB60C9F"/>
    <w:rsid w:val="6CAE2F39"/>
    <w:rsid w:val="6CC354FC"/>
    <w:rsid w:val="6F5C2C41"/>
    <w:rsid w:val="712832BA"/>
    <w:rsid w:val="71511DF8"/>
    <w:rsid w:val="71DE21E1"/>
    <w:rsid w:val="7292266F"/>
    <w:rsid w:val="73EA05CB"/>
    <w:rsid w:val="74501460"/>
    <w:rsid w:val="758B3E18"/>
    <w:rsid w:val="766B0856"/>
    <w:rsid w:val="78C3642C"/>
    <w:rsid w:val="7B7D06A6"/>
    <w:rsid w:val="7C4E697D"/>
    <w:rsid w:val="7D3D7B44"/>
    <w:rsid w:val="7E8D4CAE"/>
    <w:rsid w:val="7FDA60C7"/>
    <w:rsid w:val="7FDF422B"/>
    <w:rsid w:val="FA3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560" w:lineRule="exact"/>
      <w:outlineLvl w:val="1"/>
    </w:pPr>
    <w:rPr>
      <w:rFonts w:eastAsia="黑体" w:asciiTheme="majorHAnsi" w:hAnsiTheme="majorHAnsi" w:cstheme="majorBidi"/>
      <w:b/>
      <w:bCs/>
      <w:szCs w:val="32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rPr>
      <w:sz w:val="30"/>
    </w:rPr>
  </w:style>
  <w:style w:type="paragraph" w:styleId="4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0"/>
    <w:rPr>
      <w:b/>
      <w:bCs/>
    </w:r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3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  <w:style w:type="character" w:customStyle="1" w:styleId="14">
    <w:name w:val="页眉 字符"/>
    <w:basedOn w:val="11"/>
    <w:link w:val="7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5">
    <w:name w:val="批注框文本 字符"/>
    <w:basedOn w:val="11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">
    <w:name w:val="批注文字 字符"/>
    <w:basedOn w:val="11"/>
    <w:link w:val="4"/>
    <w:semiHidden/>
    <w:qFormat/>
    <w:uiPriority w:val="0"/>
    <w:rPr>
      <w:rFonts w:ascii="仿宋_GB2312" w:eastAsia="仿宋_GB2312"/>
      <w:kern w:val="2"/>
      <w:sz w:val="32"/>
      <w:szCs w:val="22"/>
    </w:rPr>
  </w:style>
  <w:style w:type="character" w:customStyle="1" w:styleId="18">
    <w:name w:val="批注主题 字符"/>
    <w:basedOn w:val="17"/>
    <w:link w:val="9"/>
    <w:semiHidden/>
    <w:qFormat/>
    <w:uiPriority w:val="0"/>
    <w:rPr>
      <w:rFonts w:ascii="仿宋_GB2312" w:eastAsia="仿宋_GB2312"/>
      <w:b/>
      <w:bCs/>
      <w:kern w:val="2"/>
      <w:sz w:val="32"/>
      <w:szCs w:val="22"/>
    </w:rPr>
  </w:style>
  <w:style w:type="character" w:customStyle="1" w:styleId="19">
    <w:name w:val="标题 2 字符"/>
    <w:basedOn w:val="11"/>
    <w:link w:val="3"/>
    <w:qFormat/>
    <w:uiPriority w:val="9"/>
    <w:rPr>
      <w:rFonts w:eastAsia="黑体" w:asciiTheme="majorHAnsi" w:hAnsiTheme="majorHAnsi" w:cstheme="majorBidi"/>
      <w:b/>
      <w:bCs/>
      <w:kern w:val="2"/>
      <w:sz w:val="32"/>
      <w:szCs w:val="32"/>
      <w14:ligatures w14:val="standardContextual"/>
    </w:rPr>
  </w:style>
  <w:style w:type="character" w:customStyle="1" w:styleId="20">
    <w:name w:val="正文文本 字符"/>
    <w:basedOn w:val="11"/>
    <w:link w:val="2"/>
    <w:qFormat/>
    <w:uiPriority w:val="0"/>
    <w:rPr>
      <w:rFonts w:ascii="仿宋_GB2312" w:eastAsia="仿宋_GB2312"/>
      <w:kern w:val="2"/>
      <w:sz w:val="30"/>
      <w:szCs w:val="22"/>
    </w:rPr>
  </w:style>
  <w:style w:type="paragraph" w:customStyle="1" w:styleId="21">
    <w:name w:val="修订2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3">
    <w:name w:val="修订4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2208</Words>
  <Characters>2216</Characters>
  <Lines>28</Lines>
  <Paragraphs>7</Paragraphs>
  <TotalTime>1</TotalTime>
  <ScaleCrop>false</ScaleCrop>
  <LinksUpToDate>false</LinksUpToDate>
  <CharactersWithSpaces>2216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2024-11-12T01:48:00Z</dcterms:created>
  <dc:creator>Echo</dc:creator>
  <cp:lastModifiedBy>leonard</cp:lastModifiedBy>
  <cp:lastPrinted>2024-09-23T02:19:00Z</cp:lastPrinted>
  <dcterms:modified xsi:type="dcterms:W3CDTF">2024-11-13T06:38:16Z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3C735ADBA32C402295F366B5AC2B0151_13</vt:lpwstr>
  </property>
</Properties>
</file>