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2A3DD">
      <w:pPr>
        <w:spacing w:line="300" w:lineRule="auto"/>
        <w:jc w:val="center"/>
        <w:rPr>
          <w:rFonts w:ascii="方正小标宋简体" w:hAnsi="仿宋_GB2312" w:eastAsia="方正小标宋简体" w:cs="仿宋_GB2312"/>
          <w:b/>
          <w:color w:val="000000"/>
          <w:sz w:val="36"/>
          <w:szCs w:val="32"/>
        </w:rPr>
      </w:pPr>
      <w:r>
        <w:rPr>
          <w:rFonts w:hint="eastAsia" w:ascii="方正小标宋简体" w:hAnsi="仿宋_GB2312" w:eastAsia="方正小标宋简体" w:cs="仿宋_GB2312"/>
          <w:b/>
          <w:color w:val="000000"/>
          <w:sz w:val="36"/>
          <w:szCs w:val="32"/>
        </w:rPr>
        <w:t>第五届江苏省高校教师教学创新大赛评分标准</w:t>
      </w:r>
      <w:r>
        <w:rPr>
          <w:rFonts w:hint="eastAsia" w:ascii="方正小标宋简体" w:hAnsi="仿宋_GB2312" w:eastAsia="方正小标宋简体" w:cs="仿宋_GB2312"/>
          <w:b/>
          <w:color w:val="000000"/>
          <w:sz w:val="36"/>
          <w:szCs w:val="32"/>
        </w:rPr>
        <w:br w:type="textWrapping"/>
      </w:r>
      <w:r>
        <w:rPr>
          <w:rFonts w:hint="eastAsia" w:ascii="方正小标宋简体" w:hAnsi="仿宋_GB2312" w:eastAsia="方正小标宋简体" w:cs="仿宋_GB2312"/>
          <w:b/>
          <w:color w:val="000000"/>
          <w:sz w:val="36"/>
          <w:szCs w:val="32"/>
        </w:rPr>
        <w:t>（人工智能+）</w:t>
      </w:r>
    </w:p>
    <w:p w14:paraId="634DF283">
      <w:pPr>
        <w:jc w:val="center"/>
        <w:rPr>
          <w:rFonts w:ascii="楷体" w:hAnsi="楷体" w:eastAsia="楷体"/>
          <w:bCs/>
          <w:color w:val="000000"/>
          <w:sz w:val="24"/>
          <w:szCs w:val="24"/>
        </w:rPr>
      </w:pPr>
      <w:r>
        <w:rPr>
          <w:rFonts w:hint="eastAsia" w:ascii="楷体" w:hAnsi="楷体" w:eastAsia="楷体"/>
          <w:bCs/>
          <w:color w:val="000000"/>
          <w:sz w:val="30"/>
          <w:szCs w:val="30"/>
        </w:rPr>
        <w:t>（2025年3月1</w:t>
      </w:r>
      <w:r>
        <w:rPr>
          <w:rFonts w:ascii="楷体" w:hAnsi="楷体" w:eastAsia="楷体"/>
          <w:bCs/>
          <w:color w:val="000000"/>
          <w:sz w:val="30"/>
          <w:szCs w:val="30"/>
        </w:rPr>
        <w:t>3日</w:t>
      </w:r>
      <w:r>
        <w:rPr>
          <w:rFonts w:hint="eastAsia" w:ascii="楷体" w:hAnsi="楷体" w:eastAsia="楷体"/>
          <w:bCs/>
          <w:color w:val="000000"/>
          <w:sz w:val="30"/>
          <w:szCs w:val="30"/>
        </w:rPr>
        <w:t>）</w:t>
      </w:r>
    </w:p>
    <w:p w14:paraId="5BB26B7E">
      <w:pPr>
        <w:rPr>
          <w:rFonts w:hint="default" w:ascii="宋体" w:hAnsi="宋体" w:eastAsia="宋体"/>
          <w:b/>
          <w:bCs w:val="0"/>
          <w:color w:val="000000"/>
          <w:sz w:val="30"/>
          <w:szCs w:val="30"/>
          <w:lang w:val="en-US" w:eastAsia="zh-CN"/>
        </w:rPr>
      </w:pPr>
      <w:r>
        <w:rPr>
          <w:rFonts w:hint="eastAsia" w:ascii="宋体" w:hAnsi="宋体" w:eastAsia="宋体"/>
          <w:b/>
          <w:bCs w:val="0"/>
          <w:color w:val="000000"/>
          <w:sz w:val="30"/>
          <w:szCs w:val="30"/>
          <w:lang w:val="en-US" w:eastAsia="zh-CN"/>
        </w:rPr>
        <w:t>第一阶段：网络评审</w:t>
      </w:r>
    </w:p>
    <w:p w14:paraId="66D29E0F">
      <w:pPr>
        <w:rPr>
          <w:rFonts w:eastAsia="黑体"/>
          <w:bCs/>
          <w:color w:val="000000"/>
          <w:sz w:val="28"/>
          <w:szCs w:val="28"/>
          <w:lang w:bidi="en-US"/>
        </w:rPr>
      </w:pPr>
      <w:r>
        <w:rPr>
          <w:rFonts w:eastAsia="黑体"/>
          <w:bCs/>
          <w:color w:val="000000"/>
          <w:sz w:val="28"/>
          <w:szCs w:val="28"/>
          <w:lang w:bidi="en-US"/>
        </w:rPr>
        <w:t>一、课堂教学实录视频（40分）</w:t>
      </w:r>
    </w:p>
    <w:tbl>
      <w:tblPr>
        <w:tblStyle w:val="18"/>
        <w:tblW w:w="479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7067"/>
      </w:tblGrid>
      <w:tr w14:paraId="4432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trPr>
        <w:tc>
          <w:tcPr>
            <w:tcW w:w="680" w:type="pct"/>
            <w:vAlign w:val="center"/>
          </w:tcPr>
          <w:p w14:paraId="390684C2">
            <w:pPr>
              <w:spacing w:line="480" w:lineRule="exact"/>
              <w:jc w:val="center"/>
              <w:rPr>
                <w:rFonts w:eastAsia="黑体"/>
                <w:b/>
                <w:bCs/>
                <w:color w:val="000000"/>
                <w:spacing w:val="-12"/>
                <w:lang w:eastAsia="en-US" w:bidi="en-US"/>
              </w:rPr>
            </w:pPr>
            <w:r>
              <w:rPr>
                <w:rFonts w:eastAsia="黑体"/>
                <w:b/>
                <w:bCs/>
                <w:color w:val="000000"/>
                <w:spacing w:val="-12"/>
                <w:lang w:eastAsia="en-US" w:bidi="en-US"/>
              </w:rPr>
              <w:t>评价维度</w:t>
            </w:r>
          </w:p>
        </w:tc>
        <w:tc>
          <w:tcPr>
            <w:tcW w:w="4320" w:type="pct"/>
            <w:vAlign w:val="center"/>
          </w:tcPr>
          <w:p w14:paraId="4A1FE21D">
            <w:pPr>
              <w:spacing w:line="480" w:lineRule="exact"/>
              <w:jc w:val="center"/>
              <w:rPr>
                <w:rFonts w:eastAsia="黑体"/>
                <w:b/>
                <w:bCs/>
                <w:color w:val="000000"/>
                <w:spacing w:val="-12"/>
                <w:lang w:eastAsia="en-US" w:bidi="en-US"/>
              </w:rPr>
            </w:pPr>
            <w:r>
              <w:rPr>
                <w:rFonts w:eastAsia="黑体"/>
                <w:b/>
                <w:bCs/>
                <w:color w:val="000000"/>
                <w:spacing w:val="-12"/>
                <w:lang w:eastAsia="en-US" w:bidi="en-US"/>
              </w:rPr>
              <w:t>评价要点</w:t>
            </w:r>
          </w:p>
        </w:tc>
      </w:tr>
      <w:tr w14:paraId="614F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80" w:type="pct"/>
            <w:vAlign w:val="center"/>
          </w:tcPr>
          <w:p w14:paraId="598066D9">
            <w:pPr>
              <w:adjustRightInd w:val="0"/>
              <w:snapToGrid w:val="0"/>
              <w:spacing w:line="400" w:lineRule="exact"/>
              <w:jc w:val="center"/>
              <w:rPr>
                <w:rFonts w:eastAsia="仿宋"/>
                <w:b/>
                <w:bCs/>
                <w:color w:val="000000"/>
                <w:spacing w:val="-12"/>
                <w:lang w:eastAsia="en-US" w:bidi="en-US"/>
              </w:rPr>
            </w:pPr>
            <w:r>
              <w:rPr>
                <w:rFonts w:eastAsia="仿宋"/>
                <w:b/>
                <w:bCs/>
                <w:color w:val="000000"/>
                <w:spacing w:val="-12"/>
                <w:lang w:eastAsia="en-US" w:bidi="en-US"/>
              </w:rPr>
              <w:t>教学理念</w:t>
            </w:r>
          </w:p>
        </w:tc>
        <w:tc>
          <w:tcPr>
            <w:tcW w:w="4320" w:type="pct"/>
            <w:vAlign w:val="center"/>
          </w:tcPr>
          <w:p w14:paraId="2DF66A0D">
            <w:pPr>
              <w:adjustRightInd w:val="0"/>
              <w:snapToGrid w:val="0"/>
              <w:spacing w:line="400" w:lineRule="exact"/>
              <w:rPr>
                <w:rFonts w:eastAsia="仿宋"/>
                <w:color w:val="000000"/>
                <w:spacing w:val="-12"/>
                <w:lang w:bidi="en-US"/>
              </w:rPr>
            </w:pPr>
            <w:r>
              <w:rPr>
                <w:rFonts w:hint="eastAsia" w:eastAsia="仿宋"/>
                <w:color w:val="000000"/>
                <w:spacing w:val="-12"/>
                <w:lang w:bidi="en-US"/>
              </w:rPr>
              <w:t>体现“以学生发展为中心”的教育理念和智慧教学理念，注重培养学生的创新思维、实践能力和人工智能素养，注重技术伦理，引导学生合理使用人工智能技术；以人工智能为驱动与渗透，革新教学模式与组织架构；促进人工智能技术与课程内容的深度整合，突破学科界限，实现交叉融合。</w:t>
            </w:r>
          </w:p>
        </w:tc>
      </w:tr>
      <w:tr w14:paraId="6FBE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restart"/>
            <w:vAlign w:val="center"/>
          </w:tcPr>
          <w:p w14:paraId="373E61C0">
            <w:pPr>
              <w:adjustRightInd w:val="0"/>
              <w:snapToGrid w:val="0"/>
              <w:spacing w:line="400" w:lineRule="exact"/>
              <w:jc w:val="center"/>
              <w:rPr>
                <w:rFonts w:eastAsia="仿宋"/>
                <w:b/>
                <w:bCs/>
                <w:color w:val="000000"/>
                <w:spacing w:val="-12"/>
                <w:lang w:eastAsia="en-US" w:bidi="en-US"/>
              </w:rPr>
            </w:pPr>
            <w:r>
              <w:rPr>
                <w:rFonts w:eastAsia="仿宋"/>
                <w:b/>
                <w:bCs/>
                <w:color w:val="000000"/>
                <w:spacing w:val="-12"/>
                <w:lang w:eastAsia="en-US" w:bidi="en-US"/>
              </w:rPr>
              <w:t>教学内容</w:t>
            </w:r>
          </w:p>
        </w:tc>
        <w:tc>
          <w:tcPr>
            <w:tcW w:w="4320" w:type="pct"/>
            <w:vAlign w:val="center"/>
          </w:tcPr>
          <w:p w14:paraId="6F38C3DC">
            <w:pPr>
              <w:adjustRightInd w:val="0"/>
              <w:snapToGrid w:val="0"/>
              <w:spacing w:line="400" w:lineRule="exact"/>
              <w:rPr>
                <w:rFonts w:eastAsia="仿宋"/>
                <w:color w:val="000000"/>
                <w:spacing w:val="-12"/>
                <w:lang w:bidi="en-US"/>
              </w:rPr>
            </w:pPr>
            <w:r>
              <w:rPr>
                <w:rFonts w:hint="eastAsia" w:eastAsia="仿宋"/>
                <w:color w:val="000000"/>
                <w:spacing w:val="-12"/>
                <w:lang w:bidi="en-US"/>
              </w:rPr>
              <w:t>利用人工智能技术深挖课程思政元素，落实立德树人根本任务，将价值塑造、知识传授和能力培养融为一体，显性教育与隐性教育相统一，实现“润物无声”的课程思政教育。</w:t>
            </w:r>
          </w:p>
        </w:tc>
      </w:tr>
      <w:tr w14:paraId="498E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80" w:type="pct"/>
            <w:vMerge w:val="continue"/>
            <w:vAlign w:val="center"/>
          </w:tcPr>
          <w:p w14:paraId="0539BA84">
            <w:pPr>
              <w:adjustRightInd w:val="0"/>
              <w:snapToGrid w:val="0"/>
              <w:spacing w:line="400" w:lineRule="exact"/>
              <w:jc w:val="center"/>
              <w:rPr>
                <w:rFonts w:eastAsia="仿宋"/>
                <w:b/>
                <w:bCs/>
                <w:color w:val="000000"/>
                <w:spacing w:val="-12"/>
                <w:lang w:bidi="en-US"/>
              </w:rPr>
            </w:pPr>
          </w:p>
        </w:tc>
        <w:tc>
          <w:tcPr>
            <w:tcW w:w="4320" w:type="pct"/>
            <w:vAlign w:val="center"/>
          </w:tcPr>
          <w:p w14:paraId="12B51FB7">
            <w:pPr>
              <w:adjustRightInd w:val="0"/>
              <w:snapToGrid w:val="0"/>
              <w:spacing w:line="400" w:lineRule="exact"/>
              <w:rPr>
                <w:rFonts w:eastAsia="仿宋"/>
                <w:color w:val="000000"/>
                <w:spacing w:val="-12"/>
                <w:lang w:bidi="en-US"/>
              </w:rPr>
            </w:pPr>
            <w:r>
              <w:rPr>
                <w:rFonts w:hint="eastAsia" w:eastAsia="仿宋"/>
                <w:color w:val="000000"/>
                <w:spacing w:val="-12"/>
              </w:rPr>
              <w:t>教学内容体现学科结构与核心素养的统一，与当前发展新质生产力的趋势相适应</w:t>
            </w:r>
            <w:r>
              <w:rPr>
                <w:rFonts w:eastAsia="仿宋"/>
                <w:color w:val="000000"/>
                <w:spacing w:val="-12"/>
              </w:rPr>
              <w:t>，</w:t>
            </w:r>
            <w:r>
              <w:rPr>
                <w:rFonts w:hint="eastAsia" w:eastAsia="仿宋"/>
                <w:color w:val="000000"/>
                <w:spacing w:val="-12"/>
              </w:rPr>
              <w:t>能以人工智能技术推动全方位课程建设改革</w:t>
            </w:r>
            <w:r>
              <w:rPr>
                <w:rFonts w:eastAsia="仿宋"/>
                <w:color w:val="000000"/>
                <w:spacing w:val="-12"/>
              </w:rPr>
              <w:t>；课程内容与行业需求紧密对接，体现高阶性、创新性与挑战度。</w:t>
            </w:r>
          </w:p>
        </w:tc>
      </w:tr>
      <w:tr w14:paraId="449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80" w:type="pct"/>
            <w:vMerge w:val="continue"/>
            <w:vAlign w:val="center"/>
          </w:tcPr>
          <w:p w14:paraId="77153B8F">
            <w:pPr>
              <w:adjustRightInd w:val="0"/>
              <w:snapToGrid w:val="0"/>
              <w:spacing w:line="400" w:lineRule="exact"/>
              <w:rPr>
                <w:color w:val="000000"/>
              </w:rPr>
            </w:pPr>
          </w:p>
        </w:tc>
        <w:tc>
          <w:tcPr>
            <w:tcW w:w="4320" w:type="pct"/>
            <w:vAlign w:val="center"/>
          </w:tcPr>
          <w:p w14:paraId="049AE03A">
            <w:pPr>
              <w:adjustRightInd w:val="0"/>
              <w:snapToGrid w:val="0"/>
              <w:spacing w:line="400" w:lineRule="exact"/>
              <w:rPr>
                <w:rFonts w:eastAsia="仿宋"/>
                <w:color w:val="000000"/>
                <w:spacing w:val="-12"/>
              </w:rPr>
            </w:pPr>
            <w:r>
              <w:rPr>
                <w:rFonts w:hint="eastAsia" w:eastAsia="仿宋"/>
                <w:color w:val="000000"/>
                <w:spacing w:val="-12"/>
              </w:rPr>
              <w:t>教学资源与人工智能技术全方位融合</w:t>
            </w:r>
            <w:r>
              <w:rPr>
                <w:rFonts w:eastAsia="仿宋"/>
                <w:color w:val="000000"/>
                <w:spacing w:val="-12"/>
              </w:rPr>
              <w:t>，</w:t>
            </w:r>
            <w:r>
              <w:rPr>
                <w:rFonts w:hint="eastAsia" w:eastAsia="仿宋"/>
                <w:color w:val="000000"/>
                <w:spacing w:val="-12"/>
              </w:rPr>
              <w:t>包括但不限于智能教学系统、虚拟助教、智能评估、虚拟现实与增强现实、大数据分析、智能内容生成、智慧课程平台、语音识别与自然语言处理、智能教室等智能体或其他智能应用，主动纳入国产人工智能软件和模型等</w:t>
            </w:r>
            <w:r>
              <w:rPr>
                <w:rFonts w:eastAsia="仿宋"/>
                <w:color w:val="000000"/>
                <w:spacing w:val="-12"/>
              </w:rPr>
              <w:t>。</w:t>
            </w:r>
          </w:p>
        </w:tc>
      </w:tr>
      <w:tr w14:paraId="21E0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restart"/>
            <w:vAlign w:val="center"/>
          </w:tcPr>
          <w:p w14:paraId="3511F103">
            <w:pPr>
              <w:adjustRightInd w:val="0"/>
              <w:snapToGrid w:val="0"/>
              <w:spacing w:line="400" w:lineRule="exact"/>
              <w:jc w:val="center"/>
              <w:rPr>
                <w:rFonts w:eastAsia="仿宋"/>
                <w:b/>
                <w:bCs/>
                <w:color w:val="000000"/>
                <w:spacing w:val="-12"/>
                <w:lang w:bidi="en-US"/>
              </w:rPr>
            </w:pPr>
            <w:r>
              <w:rPr>
                <w:rFonts w:eastAsia="仿宋"/>
                <w:b/>
                <w:bCs/>
                <w:color w:val="000000"/>
                <w:spacing w:val="-12"/>
                <w:lang w:bidi="en-US"/>
              </w:rPr>
              <w:t>教学过程</w:t>
            </w:r>
          </w:p>
        </w:tc>
        <w:tc>
          <w:tcPr>
            <w:tcW w:w="4320" w:type="pct"/>
            <w:vAlign w:val="center"/>
          </w:tcPr>
          <w:p w14:paraId="0C57DDAE">
            <w:pPr>
              <w:adjustRightInd w:val="0"/>
              <w:snapToGrid w:val="0"/>
              <w:spacing w:line="400" w:lineRule="exact"/>
              <w:rPr>
                <w:rFonts w:eastAsia="仿宋"/>
                <w:color w:val="000000"/>
                <w:spacing w:val="-12"/>
                <w:lang w:bidi="en-US"/>
              </w:rPr>
            </w:pPr>
            <w:r>
              <w:rPr>
                <w:rFonts w:hint="eastAsia" w:eastAsia="仿宋"/>
                <w:color w:val="000000"/>
                <w:spacing w:val="-12"/>
                <w:lang w:bidi="en-US"/>
              </w:rPr>
              <w:t>教学过程基于“师—生—机”三元结构体现教师主导、学生主体，构建基于智能技术的主动学习平台和环境，加强对学生能力素质的扎实训练和个性化辅导。</w:t>
            </w:r>
          </w:p>
        </w:tc>
      </w:tr>
      <w:tr w14:paraId="5CE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continue"/>
            <w:vAlign w:val="center"/>
          </w:tcPr>
          <w:p w14:paraId="2B060D47">
            <w:pPr>
              <w:adjustRightInd w:val="0"/>
              <w:snapToGrid w:val="0"/>
              <w:spacing w:line="400" w:lineRule="exact"/>
              <w:jc w:val="center"/>
              <w:rPr>
                <w:rFonts w:eastAsia="仿宋"/>
                <w:b/>
                <w:bCs/>
                <w:color w:val="000000"/>
                <w:spacing w:val="-12"/>
                <w:lang w:bidi="en-US"/>
              </w:rPr>
            </w:pPr>
          </w:p>
        </w:tc>
        <w:tc>
          <w:tcPr>
            <w:tcW w:w="4320" w:type="pct"/>
            <w:vAlign w:val="center"/>
          </w:tcPr>
          <w:p w14:paraId="22381764">
            <w:pPr>
              <w:adjustRightInd w:val="0"/>
              <w:snapToGrid w:val="0"/>
              <w:spacing w:line="400" w:lineRule="exact"/>
              <w:rPr>
                <w:rFonts w:eastAsia="仿宋"/>
                <w:color w:val="000000"/>
                <w:spacing w:val="-12"/>
                <w:lang w:bidi="en-US"/>
              </w:rPr>
            </w:pPr>
            <w:r>
              <w:rPr>
                <w:rFonts w:hint="eastAsia" w:eastAsia="仿宋"/>
                <w:color w:val="000000"/>
                <w:spacing w:val="-12"/>
                <w:lang w:bidi="en-US"/>
              </w:rPr>
              <w:t>教学环境以人工智能应用场景为主，向现实与虚拟相结合的智慧教学空间转型，</w:t>
            </w:r>
            <w:r>
              <w:rPr>
                <w:rFonts w:hint="eastAsia" w:eastAsia="仿宋"/>
                <w:color w:val="000000"/>
                <w:spacing w:val="-12"/>
              </w:rPr>
              <w:t>将</w:t>
            </w:r>
            <w:r>
              <w:rPr>
                <w:rFonts w:eastAsia="仿宋"/>
                <w:color w:val="000000"/>
                <w:spacing w:val="-12"/>
              </w:rPr>
              <w:t>智能化教学助手和AI学伴、教学工具等</w:t>
            </w:r>
            <w:r>
              <w:rPr>
                <w:rFonts w:hint="eastAsia" w:eastAsia="仿宋"/>
                <w:color w:val="000000"/>
                <w:spacing w:val="-12"/>
              </w:rPr>
              <w:t>融入教学常态</w:t>
            </w:r>
            <w:r>
              <w:rPr>
                <w:rFonts w:hint="eastAsia" w:eastAsia="仿宋"/>
                <w:color w:val="000000"/>
                <w:spacing w:val="-12"/>
                <w:lang w:bidi="en-US"/>
              </w:rPr>
              <w:t>，旨在提高学生在智能环境中的适应力和创造力。</w:t>
            </w:r>
          </w:p>
        </w:tc>
      </w:tr>
      <w:tr w14:paraId="3775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80" w:type="pct"/>
            <w:vMerge w:val="continue"/>
            <w:vAlign w:val="center"/>
          </w:tcPr>
          <w:p w14:paraId="00788FAB">
            <w:pPr>
              <w:adjustRightInd w:val="0"/>
              <w:snapToGrid w:val="0"/>
              <w:spacing w:line="400" w:lineRule="exact"/>
              <w:jc w:val="center"/>
              <w:rPr>
                <w:rFonts w:eastAsia="仿宋"/>
                <w:b/>
                <w:bCs/>
                <w:color w:val="000000"/>
                <w:spacing w:val="-12"/>
                <w:lang w:bidi="en-US"/>
              </w:rPr>
            </w:pPr>
          </w:p>
        </w:tc>
        <w:tc>
          <w:tcPr>
            <w:tcW w:w="4320" w:type="pct"/>
            <w:vAlign w:val="center"/>
          </w:tcPr>
          <w:p w14:paraId="2C2C3836">
            <w:pPr>
              <w:adjustRightInd w:val="0"/>
              <w:snapToGrid w:val="0"/>
              <w:spacing w:line="400" w:lineRule="exact"/>
              <w:rPr>
                <w:rFonts w:eastAsia="仿宋"/>
                <w:color w:val="000000"/>
                <w:spacing w:val="-12"/>
                <w:lang w:bidi="en-US"/>
              </w:rPr>
            </w:pPr>
            <w:r>
              <w:rPr>
                <w:rFonts w:hint="eastAsia" w:eastAsia="仿宋"/>
                <w:color w:val="000000"/>
                <w:spacing w:val="-12"/>
                <w:lang w:bidi="en-US"/>
              </w:rPr>
              <w:t>在学情分析、课前准备、课程讲授、课堂研讨、教学辅导、作业批阅、交流互动等方面充分应用人工智能技术，赋能教学智能决策支持、教情循证分析、数字档案生成等，助力教学全过程多元化评价。</w:t>
            </w:r>
          </w:p>
        </w:tc>
      </w:tr>
      <w:tr w14:paraId="1F19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80" w:type="pct"/>
            <w:vMerge w:val="restart"/>
            <w:vAlign w:val="center"/>
          </w:tcPr>
          <w:p w14:paraId="290E9080">
            <w:pPr>
              <w:adjustRightInd w:val="0"/>
              <w:snapToGrid w:val="0"/>
              <w:spacing w:line="400" w:lineRule="exact"/>
              <w:jc w:val="center"/>
              <w:rPr>
                <w:rFonts w:eastAsia="仿宋"/>
                <w:b/>
                <w:bCs/>
                <w:color w:val="000000"/>
                <w:spacing w:val="-12"/>
                <w:lang w:eastAsia="en-US" w:bidi="en-US"/>
              </w:rPr>
            </w:pPr>
            <w:r>
              <w:rPr>
                <w:rFonts w:eastAsia="仿宋"/>
                <w:b/>
                <w:bCs/>
                <w:color w:val="000000"/>
                <w:spacing w:val="-12"/>
                <w:lang w:eastAsia="en-US" w:bidi="en-US"/>
              </w:rPr>
              <w:t>教学效果</w:t>
            </w:r>
          </w:p>
        </w:tc>
        <w:tc>
          <w:tcPr>
            <w:tcW w:w="4320" w:type="pct"/>
            <w:vAlign w:val="center"/>
          </w:tcPr>
          <w:p w14:paraId="2ECA39D8">
            <w:pPr>
              <w:adjustRightInd w:val="0"/>
              <w:snapToGrid w:val="0"/>
              <w:spacing w:line="400" w:lineRule="exact"/>
              <w:rPr>
                <w:rFonts w:eastAsia="仿宋"/>
                <w:color w:val="000000"/>
                <w:spacing w:val="-12"/>
                <w:lang w:bidi="en-US"/>
              </w:rPr>
            </w:pPr>
            <w:r>
              <w:rPr>
                <w:rFonts w:hint="eastAsia" w:eastAsia="仿宋"/>
                <w:color w:val="000000"/>
                <w:spacing w:val="-12"/>
                <w:lang w:bidi="en-US"/>
              </w:rPr>
              <w:t>课程讲授富有吸引力，</w:t>
            </w:r>
            <w:r>
              <w:rPr>
                <w:rFonts w:eastAsia="仿宋"/>
                <w:color w:val="000000"/>
                <w:spacing w:val="-12"/>
                <w:lang w:bidi="en-US"/>
              </w:rPr>
              <w:t>学生参与度高，</w:t>
            </w:r>
            <w:r>
              <w:rPr>
                <w:rFonts w:hint="eastAsia" w:eastAsia="仿宋"/>
                <w:color w:val="000000"/>
                <w:spacing w:val="-12"/>
                <w:lang w:bidi="en-US"/>
              </w:rPr>
              <w:t>互动气氛融洽，学生思维活跃，</w:t>
            </w:r>
            <w:r>
              <w:rPr>
                <w:rFonts w:eastAsia="仿宋"/>
                <w:color w:val="000000"/>
                <w:spacing w:val="-12"/>
                <w:lang w:bidi="en-US"/>
              </w:rPr>
              <w:t>能够有效掌握人工智能相关知识和技能；学生能够运用所学知识</w:t>
            </w:r>
            <w:r>
              <w:rPr>
                <w:rFonts w:hint="eastAsia" w:eastAsia="仿宋"/>
                <w:color w:val="000000"/>
                <w:spacing w:val="-12"/>
                <w:lang w:bidi="en-US"/>
              </w:rPr>
              <w:t>和工具</w:t>
            </w:r>
            <w:r>
              <w:rPr>
                <w:rFonts w:eastAsia="仿宋"/>
                <w:color w:val="000000"/>
                <w:spacing w:val="-12"/>
                <w:lang w:bidi="en-US"/>
              </w:rPr>
              <w:t>解决实际问题，创新实践能力显著提升。</w:t>
            </w:r>
          </w:p>
        </w:tc>
      </w:tr>
      <w:tr w14:paraId="11BB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80" w:type="pct"/>
            <w:vMerge w:val="continue"/>
            <w:vAlign w:val="center"/>
          </w:tcPr>
          <w:p w14:paraId="3FE2CAAF">
            <w:pPr>
              <w:adjustRightInd w:val="0"/>
              <w:snapToGrid w:val="0"/>
              <w:spacing w:line="400" w:lineRule="exact"/>
              <w:jc w:val="center"/>
              <w:rPr>
                <w:rFonts w:eastAsia="仿宋"/>
                <w:b/>
                <w:bCs/>
                <w:color w:val="000000"/>
                <w:spacing w:val="-12"/>
                <w:lang w:bidi="en-US"/>
              </w:rPr>
            </w:pPr>
          </w:p>
        </w:tc>
        <w:tc>
          <w:tcPr>
            <w:tcW w:w="4320" w:type="pct"/>
            <w:vAlign w:val="center"/>
          </w:tcPr>
          <w:p w14:paraId="7A866AC5">
            <w:pPr>
              <w:adjustRightInd w:val="0"/>
              <w:snapToGrid w:val="0"/>
              <w:spacing w:line="400" w:lineRule="exact"/>
              <w:rPr>
                <w:rFonts w:eastAsia="仿宋"/>
                <w:color w:val="000000"/>
                <w:spacing w:val="-12"/>
                <w:lang w:bidi="en-US"/>
              </w:rPr>
            </w:pPr>
            <w:r>
              <w:rPr>
                <w:rFonts w:hint="eastAsia" w:eastAsia="仿宋"/>
                <w:color w:val="000000"/>
                <w:spacing w:val="-12"/>
                <w:lang w:bidi="en-US"/>
              </w:rPr>
              <w:t>鼓励以智能化、创造性和沉浸式的施教形式来支撑个性化教学效果的达成，打造师、机、生互教互学、虚实结合的新型学习模式，提供方便灵活的个性化、伴随式学习支持，根据大幅提升学生自主学习能力；鼓励打造集知识服务、学习支持、教学辅助为一体的“人工智能+”学习社群。</w:t>
            </w:r>
          </w:p>
        </w:tc>
      </w:tr>
      <w:tr w14:paraId="6660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Align w:val="center"/>
          </w:tcPr>
          <w:p w14:paraId="4F1D42A0">
            <w:pPr>
              <w:adjustRightInd w:val="0"/>
              <w:snapToGrid w:val="0"/>
              <w:spacing w:line="400" w:lineRule="exact"/>
              <w:jc w:val="center"/>
              <w:rPr>
                <w:rFonts w:eastAsia="仿宋"/>
                <w:b/>
                <w:bCs/>
                <w:color w:val="000000"/>
                <w:spacing w:val="-12"/>
                <w:lang w:eastAsia="en-US" w:bidi="en-US"/>
              </w:rPr>
            </w:pPr>
            <w:r>
              <w:rPr>
                <w:rFonts w:eastAsia="仿宋"/>
                <w:b/>
                <w:bCs/>
                <w:color w:val="000000"/>
                <w:spacing w:val="-12"/>
                <w:lang w:eastAsia="en-US" w:bidi="en-US"/>
              </w:rPr>
              <w:t>视频质量</w:t>
            </w:r>
          </w:p>
        </w:tc>
        <w:tc>
          <w:tcPr>
            <w:tcW w:w="4320" w:type="pct"/>
            <w:vAlign w:val="center"/>
          </w:tcPr>
          <w:p w14:paraId="3091D9E1">
            <w:pPr>
              <w:adjustRightInd w:val="0"/>
              <w:snapToGrid w:val="0"/>
              <w:spacing w:line="400" w:lineRule="exact"/>
              <w:rPr>
                <w:rFonts w:eastAsia="仿宋"/>
                <w:color w:val="000000"/>
                <w:spacing w:val="-12"/>
                <w:lang w:bidi="en-US"/>
              </w:rPr>
            </w:pPr>
            <w:r>
              <w:rPr>
                <w:rFonts w:hint="eastAsia" w:eastAsia="仿宋"/>
                <w:color w:val="000000"/>
                <w:spacing w:val="-12"/>
                <w:lang w:bidi="en-US"/>
              </w:rPr>
              <w:t>教学视频清晰、流畅，能够客观、真实反映师生的教学过程常态；视频录制符合标准，无过度剪辑或特效，确保教学过程的真实性。</w:t>
            </w:r>
          </w:p>
        </w:tc>
      </w:tr>
    </w:tbl>
    <w:p w14:paraId="1963636D">
      <w:pPr>
        <w:spacing w:line="600" w:lineRule="exact"/>
        <w:rPr>
          <w:rFonts w:eastAsia="黑体"/>
          <w:bCs/>
          <w:color w:val="000000"/>
          <w:sz w:val="28"/>
          <w:szCs w:val="28"/>
          <w:lang w:bidi="en-US"/>
        </w:rPr>
      </w:pPr>
    </w:p>
    <w:p w14:paraId="14EA09AB">
      <w:pPr>
        <w:spacing w:line="600" w:lineRule="exact"/>
        <w:rPr>
          <w:rFonts w:eastAsia="黑体"/>
          <w:bCs/>
          <w:color w:val="000000"/>
          <w:sz w:val="28"/>
          <w:szCs w:val="28"/>
          <w:lang w:bidi="en-US"/>
        </w:rPr>
      </w:pPr>
      <w:r>
        <w:rPr>
          <w:rFonts w:hint="eastAsia" w:eastAsia="黑体"/>
          <w:bCs/>
          <w:color w:val="000000"/>
          <w:sz w:val="28"/>
          <w:szCs w:val="28"/>
          <w:lang w:bidi="en-US"/>
        </w:rPr>
        <w:t>二、</w:t>
      </w:r>
      <w:r>
        <w:rPr>
          <w:rFonts w:eastAsia="黑体"/>
          <w:bCs/>
          <w:color w:val="000000"/>
          <w:sz w:val="28"/>
          <w:szCs w:val="28"/>
          <w:lang w:bidi="en-US"/>
        </w:rPr>
        <w:t>创新成果报告（20分）</w:t>
      </w:r>
    </w:p>
    <w:tbl>
      <w:tblPr>
        <w:tblStyle w:val="18"/>
        <w:tblW w:w="4788"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7068"/>
      </w:tblGrid>
      <w:tr w14:paraId="289F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0" w:type="pct"/>
            <w:vAlign w:val="center"/>
          </w:tcPr>
          <w:p w14:paraId="71819A05">
            <w:pPr>
              <w:adjustRightInd w:val="0"/>
              <w:snapToGrid w:val="0"/>
              <w:spacing w:line="480" w:lineRule="exact"/>
              <w:jc w:val="center"/>
              <w:rPr>
                <w:rFonts w:ascii="黑体" w:hAnsi="黑体" w:eastAsia="黑体" w:cs="黑体"/>
                <w:b/>
                <w:bCs/>
                <w:color w:val="000000"/>
                <w:spacing w:val="-12"/>
                <w:szCs w:val="21"/>
                <w:lang w:eastAsia="en-US" w:bidi="en-US"/>
              </w:rPr>
            </w:pPr>
            <w:r>
              <w:rPr>
                <w:rFonts w:hint="eastAsia" w:ascii="黑体" w:hAnsi="黑体" w:eastAsia="黑体" w:cs="黑体"/>
                <w:b/>
                <w:bCs/>
                <w:color w:val="000000"/>
                <w:spacing w:val="-12"/>
                <w:szCs w:val="21"/>
                <w:lang w:eastAsia="en-US" w:bidi="en-US"/>
              </w:rPr>
              <w:t>评价维度</w:t>
            </w:r>
          </w:p>
        </w:tc>
        <w:tc>
          <w:tcPr>
            <w:tcW w:w="4329" w:type="pct"/>
            <w:vAlign w:val="center"/>
          </w:tcPr>
          <w:p w14:paraId="13FE94CD">
            <w:pPr>
              <w:adjustRightInd w:val="0"/>
              <w:snapToGrid w:val="0"/>
              <w:spacing w:line="480" w:lineRule="exact"/>
              <w:jc w:val="center"/>
              <w:rPr>
                <w:rFonts w:ascii="黑体" w:hAnsi="黑体" w:eastAsia="黑体" w:cs="黑体"/>
                <w:b/>
                <w:bCs/>
                <w:color w:val="000000"/>
                <w:spacing w:val="-12"/>
                <w:szCs w:val="21"/>
                <w:lang w:eastAsia="en-US" w:bidi="en-US"/>
              </w:rPr>
            </w:pPr>
            <w:r>
              <w:rPr>
                <w:rFonts w:hint="eastAsia" w:ascii="黑体" w:hAnsi="黑体" w:eastAsia="黑体" w:cs="黑体"/>
                <w:b/>
                <w:bCs/>
                <w:color w:val="000000"/>
                <w:spacing w:val="-12"/>
                <w:szCs w:val="21"/>
                <w:lang w:eastAsia="en-US" w:bidi="en-US"/>
              </w:rPr>
              <w:t>评价要点</w:t>
            </w:r>
          </w:p>
        </w:tc>
      </w:tr>
      <w:tr w14:paraId="1247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14:paraId="7DB4924F">
            <w:pPr>
              <w:adjustRightInd w:val="0"/>
              <w:snapToGrid w:val="0"/>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eastAsia="en-US" w:bidi="en-US"/>
              </w:rPr>
              <w:t>问题导向</w:t>
            </w:r>
          </w:p>
        </w:tc>
        <w:tc>
          <w:tcPr>
            <w:tcW w:w="4329" w:type="pct"/>
            <w:vAlign w:val="center"/>
          </w:tcPr>
          <w:p w14:paraId="135DD883">
            <w:pPr>
              <w:adjustRightInd w:val="0"/>
              <w:snapToGrid w:val="0"/>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人才培养规格与哲学社会科学和自然科学领域的各类实践需求相符，结合人工智能时代课程建设特点和教学实际提出真实问题；问题分析透彻，解决方案具有可操作性和针对性。</w:t>
            </w:r>
          </w:p>
        </w:tc>
      </w:tr>
      <w:tr w14:paraId="0AC3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14:paraId="6A22395C">
            <w:pPr>
              <w:adjustRightInd w:val="0"/>
              <w:snapToGrid w:val="0"/>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eastAsia="en-US" w:bidi="en-US"/>
              </w:rPr>
              <w:t>创新特色</w:t>
            </w:r>
          </w:p>
        </w:tc>
        <w:tc>
          <w:tcPr>
            <w:tcW w:w="4329" w:type="pct"/>
            <w:vAlign w:val="center"/>
          </w:tcPr>
          <w:p w14:paraId="3DFF6B4B">
            <w:pPr>
              <w:adjustRightInd w:val="0"/>
              <w:snapToGrid w:val="0"/>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通过</w:t>
            </w:r>
            <w:r>
              <w:rPr>
                <w:rFonts w:ascii="仿宋" w:hAnsi="仿宋" w:eastAsia="仿宋" w:cs="仿宋"/>
                <w:color w:val="000000"/>
                <w:spacing w:val="-12"/>
                <w:szCs w:val="21"/>
                <w:lang w:bidi="en-US"/>
              </w:rPr>
              <w:t>人工智能技术与课程的深度融合</w:t>
            </w:r>
            <w:r>
              <w:rPr>
                <w:rFonts w:hint="eastAsia" w:ascii="仿宋" w:hAnsi="仿宋" w:eastAsia="仿宋" w:cs="仿宋"/>
                <w:color w:val="000000"/>
                <w:spacing w:val="-12"/>
                <w:szCs w:val="21"/>
                <w:lang w:bidi="en-US"/>
              </w:rPr>
              <w:t>，在教学目标、教学内容、教学方法、教学资源和教学评价等方面形成有特色改革创新举措，</w:t>
            </w:r>
            <w:r>
              <w:rPr>
                <w:rFonts w:ascii="仿宋" w:hAnsi="仿宋" w:eastAsia="仿宋" w:cs="仿宋"/>
                <w:color w:val="000000"/>
                <w:spacing w:val="-12"/>
                <w:szCs w:val="21"/>
                <w:lang w:bidi="en-US"/>
              </w:rPr>
              <w:t>具有示范性和推广价值。</w:t>
            </w:r>
          </w:p>
        </w:tc>
      </w:tr>
      <w:tr w14:paraId="7FC4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0" w:type="pct"/>
            <w:vAlign w:val="center"/>
          </w:tcPr>
          <w:p w14:paraId="1A5460B6">
            <w:pPr>
              <w:adjustRightInd w:val="0"/>
              <w:snapToGrid w:val="0"/>
              <w:spacing w:line="480" w:lineRule="exact"/>
              <w:jc w:val="center"/>
              <w:rPr>
                <w:rFonts w:ascii="仿宋" w:hAnsi="仿宋" w:eastAsia="仿宋" w:cs="仿宋"/>
                <w:b/>
                <w:bCs/>
                <w:color w:val="000000"/>
                <w:spacing w:val="-12"/>
                <w:szCs w:val="21"/>
                <w:lang w:bidi="en-US"/>
              </w:rPr>
            </w:pPr>
            <w:r>
              <w:rPr>
                <w:rFonts w:hint="eastAsia" w:ascii="仿宋" w:hAnsi="仿宋" w:eastAsia="仿宋" w:cs="仿宋"/>
                <w:b/>
                <w:bCs/>
                <w:color w:val="000000"/>
                <w:spacing w:val="-12"/>
                <w:szCs w:val="21"/>
                <w:lang w:bidi="en-US"/>
              </w:rPr>
              <w:t>创新效果</w:t>
            </w:r>
          </w:p>
        </w:tc>
        <w:tc>
          <w:tcPr>
            <w:tcW w:w="4329" w:type="pct"/>
            <w:vAlign w:val="center"/>
          </w:tcPr>
          <w:p w14:paraId="320EE06A">
            <w:pPr>
              <w:adjustRightInd w:val="0"/>
              <w:snapToGrid w:val="0"/>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人工智能赋能智慧课程与教学创新，教学方案设计科学、方法有效、评价多元，教师和学生利用人工智能技术解决实际问题的意识和能力同步提高；</w:t>
            </w:r>
            <w:r>
              <w:rPr>
                <w:rFonts w:ascii="仿宋" w:hAnsi="仿宋" w:eastAsia="仿宋" w:cs="仿宋"/>
                <w:color w:val="000000"/>
                <w:spacing w:val="-12"/>
                <w:szCs w:val="21"/>
                <w:lang w:bidi="en-US"/>
              </w:rPr>
              <w:t>数据支撑充分，效果显著，能够有效解决人才培养与行业需求的结构性矛盾。</w:t>
            </w:r>
          </w:p>
        </w:tc>
      </w:tr>
      <w:tr w14:paraId="122C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14:paraId="1D924145">
            <w:pPr>
              <w:adjustRightInd w:val="0"/>
              <w:snapToGrid w:val="0"/>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eastAsia="en-US" w:bidi="en-US"/>
              </w:rPr>
              <w:t>成果辐射</w:t>
            </w:r>
          </w:p>
        </w:tc>
        <w:tc>
          <w:tcPr>
            <w:tcW w:w="4329" w:type="pct"/>
            <w:vAlign w:val="center"/>
          </w:tcPr>
          <w:p w14:paraId="0EDEBE06">
            <w:pPr>
              <w:adjustRightInd w:val="0"/>
              <w:snapToGrid w:val="0"/>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能够对人工智能赋能教学的模式和成果转化开展基于证据的有效分析与总结，赋能人工智能+本科教学的新范式。</w:t>
            </w:r>
          </w:p>
        </w:tc>
      </w:tr>
    </w:tbl>
    <w:p w14:paraId="5690CF35">
      <w:pPr>
        <w:pStyle w:val="11"/>
        <w:ind w:firstLine="0" w:firstLineChars="0"/>
        <w:rPr>
          <w:color w:val="000000"/>
        </w:rPr>
      </w:pPr>
    </w:p>
    <w:p w14:paraId="56EB00D4">
      <w:pPr>
        <w:spacing w:line="600" w:lineRule="exact"/>
        <w:rPr>
          <w:rFonts w:hint="default" w:eastAsia="黑体"/>
          <w:bCs/>
          <w:color w:val="000000"/>
          <w:sz w:val="30"/>
          <w:szCs w:val="30"/>
          <w:lang w:val="en-US" w:bidi="en-US"/>
        </w:rPr>
      </w:pPr>
      <w:r>
        <w:rPr>
          <w:rFonts w:hint="eastAsia" w:ascii="宋体" w:hAnsi="宋体" w:eastAsia="宋体"/>
          <w:b/>
          <w:bCs w:val="0"/>
          <w:color w:val="000000"/>
          <w:sz w:val="30"/>
          <w:szCs w:val="30"/>
          <w:lang w:val="en-US" w:eastAsia="zh-CN"/>
        </w:rPr>
        <w:t>第二阶段：现场评审</w:t>
      </w:r>
      <w:bookmarkStart w:id="1" w:name="_GoBack"/>
      <w:bookmarkEnd w:id="1"/>
    </w:p>
    <w:p w14:paraId="0C6A1626">
      <w:pPr>
        <w:spacing w:line="600" w:lineRule="exact"/>
        <w:rPr>
          <w:rFonts w:eastAsia="黑体"/>
          <w:bCs/>
          <w:color w:val="000000"/>
          <w:sz w:val="28"/>
          <w:szCs w:val="28"/>
          <w:lang w:bidi="en-US"/>
        </w:rPr>
      </w:pPr>
      <w:r>
        <w:rPr>
          <w:rFonts w:hint="eastAsia" w:eastAsia="黑体"/>
          <w:bCs/>
          <w:color w:val="000000"/>
          <w:sz w:val="28"/>
          <w:szCs w:val="28"/>
          <w:lang w:bidi="en-US"/>
        </w:rPr>
        <w:t>三、</w:t>
      </w:r>
      <w:r>
        <w:rPr>
          <w:rFonts w:eastAsia="黑体"/>
          <w:bCs/>
          <w:color w:val="000000"/>
          <w:sz w:val="28"/>
          <w:szCs w:val="28"/>
          <w:lang w:bidi="en-US"/>
        </w:rPr>
        <w:t>教学设计创新汇报（40分）</w:t>
      </w:r>
    </w:p>
    <w:tbl>
      <w:tblPr>
        <w:tblStyle w:val="18"/>
        <w:tblW w:w="486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7068"/>
      </w:tblGrid>
      <w:tr w14:paraId="133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739" w:type="pct"/>
            <w:vAlign w:val="center"/>
          </w:tcPr>
          <w:p w14:paraId="5CE066E0">
            <w:pPr>
              <w:spacing w:line="480" w:lineRule="exact"/>
              <w:jc w:val="center"/>
              <w:rPr>
                <w:rFonts w:ascii="黑体" w:hAnsi="黑体" w:eastAsia="黑体" w:cs="黑体"/>
                <w:b/>
                <w:bCs/>
                <w:color w:val="000000"/>
                <w:spacing w:val="-12"/>
                <w:szCs w:val="21"/>
                <w:lang w:eastAsia="en-US" w:bidi="en-US"/>
              </w:rPr>
            </w:pPr>
            <w:r>
              <w:rPr>
                <w:rFonts w:hint="eastAsia" w:ascii="黑体" w:hAnsi="黑体" w:eastAsia="黑体" w:cs="黑体"/>
                <w:b/>
                <w:bCs/>
                <w:color w:val="000000"/>
                <w:spacing w:val="-12"/>
                <w:szCs w:val="21"/>
                <w:lang w:eastAsia="en-US" w:bidi="en-US"/>
              </w:rPr>
              <w:t>评价维度</w:t>
            </w:r>
          </w:p>
        </w:tc>
        <w:tc>
          <w:tcPr>
            <w:tcW w:w="4260" w:type="pct"/>
            <w:vAlign w:val="center"/>
          </w:tcPr>
          <w:p w14:paraId="27D78C9F">
            <w:pPr>
              <w:spacing w:line="480" w:lineRule="exact"/>
              <w:jc w:val="center"/>
              <w:rPr>
                <w:rFonts w:ascii="黑体" w:hAnsi="黑体" w:eastAsia="黑体" w:cs="黑体"/>
                <w:b/>
                <w:bCs/>
                <w:color w:val="000000"/>
                <w:spacing w:val="-12"/>
                <w:szCs w:val="21"/>
                <w:lang w:eastAsia="en-US" w:bidi="en-US"/>
              </w:rPr>
            </w:pPr>
            <w:r>
              <w:rPr>
                <w:rFonts w:hint="eastAsia" w:ascii="黑体" w:hAnsi="黑体" w:eastAsia="黑体" w:cs="黑体"/>
                <w:b/>
                <w:bCs/>
                <w:color w:val="000000"/>
                <w:spacing w:val="-12"/>
                <w:szCs w:val="21"/>
                <w:lang w:eastAsia="en-US" w:bidi="en-US"/>
              </w:rPr>
              <w:t>评价要点</w:t>
            </w:r>
          </w:p>
        </w:tc>
      </w:tr>
      <w:tr w14:paraId="781D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9" w:type="pct"/>
            <w:vAlign w:val="center"/>
          </w:tcPr>
          <w:p w14:paraId="46C675BD">
            <w:pPr>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eastAsia="en-US" w:bidi="en-US"/>
              </w:rPr>
              <w:t>理念与目标</w:t>
            </w:r>
          </w:p>
        </w:tc>
        <w:tc>
          <w:tcPr>
            <w:tcW w:w="4260" w:type="pct"/>
            <w:vAlign w:val="center"/>
          </w:tcPr>
          <w:p w14:paraId="469FB631">
            <w:pPr>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课程设计体现“以学生发展为中心”的理念，教学目标符合专业课程特点、学生实际和人工智能转型趋势，清楚具体，易于理解，便于实施，丰富基于人工智能技术的人才培养形式、创新培养内涵、提升综合育人水平</w:t>
            </w:r>
            <w:r>
              <w:rPr>
                <w:rFonts w:ascii="仿宋" w:hAnsi="仿宋" w:eastAsia="仿宋" w:cs="仿宋"/>
                <w:color w:val="000000"/>
                <w:spacing w:val="-12"/>
                <w:szCs w:val="21"/>
                <w:lang w:bidi="en-US"/>
              </w:rPr>
              <w:t>。</w:t>
            </w:r>
          </w:p>
        </w:tc>
      </w:tr>
      <w:tr w14:paraId="7863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restart"/>
            <w:vAlign w:val="center"/>
          </w:tcPr>
          <w:p w14:paraId="16B341B2">
            <w:pPr>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eastAsia="en-US" w:bidi="en-US"/>
              </w:rPr>
              <w:t>内容分析</w:t>
            </w:r>
          </w:p>
        </w:tc>
        <w:tc>
          <w:tcPr>
            <w:tcW w:w="4260" w:type="pct"/>
            <w:vAlign w:val="center"/>
          </w:tcPr>
          <w:p w14:paraId="75EBF6B1">
            <w:pPr>
              <w:spacing w:line="480" w:lineRule="exact"/>
              <w:rPr>
                <w:rFonts w:ascii="仿宋" w:hAnsi="仿宋" w:eastAsia="仿宋" w:cs="仿宋"/>
                <w:color w:val="000000"/>
                <w:spacing w:val="-12"/>
                <w:szCs w:val="21"/>
                <w:lang w:bidi="en-US"/>
              </w:rPr>
            </w:pPr>
            <w:r>
              <w:rPr>
                <w:rFonts w:ascii="仿宋" w:hAnsi="仿宋" w:eastAsia="仿宋" w:cs="仿宋"/>
                <w:color w:val="000000"/>
                <w:spacing w:val="-12"/>
                <w:szCs w:val="21"/>
                <w:lang w:bidi="en-US"/>
              </w:rPr>
              <w:t>教学内容紧密结合人工智能领域的前沿技术和发展趋势，及时将学科研究新进展、实践发展新经验、社会需求新变化融入课程；理论与实践结合合理，内容更新及时。</w:t>
            </w:r>
          </w:p>
        </w:tc>
      </w:tr>
      <w:tr w14:paraId="3551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14:paraId="2C364F8B">
            <w:pPr>
              <w:spacing w:line="480" w:lineRule="exact"/>
              <w:jc w:val="center"/>
              <w:rPr>
                <w:rFonts w:ascii="仿宋" w:hAnsi="仿宋" w:eastAsia="仿宋" w:cs="仿宋"/>
                <w:b/>
                <w:bCs/>
                <w:color w:val="000000"/>
                <w:spacing w:val="-12"/>
                <w:szCs w:val="21"/>
                <w:lang w:bidi="en-US"/>
              </w:rPr>
            </w:pPr>
          </w:p>
        </w:tc>
        <w:tc>
          <w:tcPr>
            <w:tcW w:w="4260" w:type="pct"/>
            <w:vAlign w:val="center"/>
          </w:tcPr>
          <w:p w14:paraId="3A965BF1">
            <w:pPr>
              <w:spacing w:line="480" w:lineRule="exact"/>
              <w:rPr>
                <w:rFonts w:ascii="仿宋" w:hAnsi="仿宋" w:eastAsia="仿宋" w:cs="仿宋"/>
                <w:color w:val="000000"/>
                <w:spacing w:val="-12"/>
                <w:szCs w:val="21"/>
                <w:lang w:bidi="en-US"/>
              </w:rPr>
            </w:pPr>
            <w:r>
              <w:rPr>
                <w:rFonts w:ascii="仿宋" w:hAnsi="仿宋" w:eastAsia="仿宋" w:cs="仿宋"/>
                <w:color w:val="000000"/>
                <w:spacing w:val="-12"/>
                <w:szCs w:val="21"/>
                <w:lang w:bidi="en-US"/>
              </w:rPr>
              <w:t>学生认知特点和起点水平表述恰当，学习习惯和能力分析合理，思想发展现状、特点和规律总结准确。</w:t>
            </w:r>
          </w:p>
        </w:tc>
      </w:tr>
      <w:tr w14:paraId="7EC6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restart"/>
            <w:vAlign w:val="center"/>
          </w:tcPr>
          <w:p w14:paraId="251FAF46">
            <w:pPr>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eastAsia="en-US" w:bidi="en-US"/>
              </w:rPr>
              <w:t>过程与方法</w:t>
            </w:r>
          </w:p>
        </w:tc>
        <w:tc>
          <w:tcPr>
            <w:tcW w:w="4260" w:type="pct"/>
            <w:vAlign w:val="center"/>
          </w:tcPr>
          <w:p w14:paraId="4B93C3AE">
            <w:pPr>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教学过程将</w:t>
            </w:r>
            <w:r>
              <w:rPr>
                <w:rFonts w:ascii="仿宋" w:hAnsi="仿宋" w:eastAsia="仿宋" w:cs="仿宋"/>
                <w:color w:val="000000"/>
                <w:spacing w:val="-12"/>
                <w:szCs w:val="21"/>
                <w:lang w:bidi="en-US"/>
              </w:rPr>
              <w:t>大模型与</w:t>
            </w:r>
            <w:r>
              <w:rPr>
                <w:rFonts w:hint="eastAsia" w:ascii="仿宋" w:hAnsi="仿宋" w:eastAsia="仿宋" w:cs="仿宋"/>
                <w:color w:val="000000"/>
                <w:spacing w:val="-12"/>
                <w:szCs w:val="21"/>
                <w:lang w:bidi="en-US"/>
              </w:rPr>
              <w:t>“智慧课程平台”</w:t>
            </w:r>
            <w:r>
              <w:rPr>
                <w:rFonts w:ascii="仿宋" w:hAnsi="仿宋" w:eastAsia="仿宋" w:cs="仿宋"/>
                <w:color w:val="000000"/>
                <w:spacing w:val="-12"/>
                <w:szCs w:val="21"/>
                <w:lang w:bidi="en-US"/>
              </w:rPr>
              <w:t>的数字教师、学习路径、知识图谱、智能评测等深度集成</w:t>
            </w:r>
            <w:r>
              <w:rPr>
                <w:rFonts w:hint="eastAsia" w:ascii="仿宋" w:hAnsi="仿宋" w:eastAsia="仿宋" w:cs="仿宋"/>
                <w:color w:val="000000"/>
                <w:spacing w:val="-12"/>
                <w:szCs w:val="21"/>
                <w:lang w:bidi="en-US"/>
              </w:rPr>
              <w:t>，</w:t>
            </w:r>
            <w:r>
              <w:rPr>
                <w:rFonts w:ascii="仿宋" w:hAnsi="仿宋" w:eastAsia="仿宋" w:cs="仿宋"/>
                <w:color w:val="000000"/>
                <w:spacing w:val="-12"/>
                <w:szCs w:val="21"/>
                <w:lang w:bidi="en-US"/>
              </w:rPr>
              <w:t>全面打造支持课程讲解、互动、实践等各环节的功能模块</w:t>
            </w:r>
            <w:r>
              <w:rPr>
                <w:rFonts w:hint="eastAsia" w:ascii="仿宋" w:hAnsi="仿宋" w:eastAsia="仿宋" w:cs="仿宋"/>
                <w:color w:val="000000"/>
                <w:spacing w:val="-12"/>
                <w:szCs w:val="21"/>
                <w:lang w:bidi="en-US"/>
              </w:rPr>
              <w:t>。</w:t>
            </w:r>
          </w:p>
        </w:tc>
      </w:tr>
      <w:tr w14:paraId="64E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14:paraId="2BC0685C">
            <w:pPr>
              <w:spacing w:line="480" w:lineRule="exact"/>
              <w:jc w:val="center"/>
              <w:rPr>
                <w:rFonts w:ascii="仿宋" w:hAnsi="仿宋" w:eastAsia="仿宋" w:cs="仿宋"/>
                <w:color w:val="000000"/>
                <w:spacing w:val="-12"/>
                <w:szCs w:val="21"/>
                <w:lang w:bidi="en-US"/>
              </w:rPr>
            </w:pPr>
          </w:p>
        </w:tc>
        <w:tc>
          <w:tcPr>
            <w:tcW w:w="4260" w:type="pct"/>
            <w:vAlign w:val="center"/>
          </w:tcPr>
          <w:p w14:paraId="0F705EAD">
            <w:pPr>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有效运用人工智能技术，解决教学过程和专业发展中存在的真问题、新挑战；以前沿的国际视野和交叉的知识结构突出教学重点、把准教学难点，实现教学体系从知识到能力的全面翻转。</w:t>
            </w:r>
          </w:p>
        </w:tc>
      </w:tr>
      <w:tr w14:paraId="6E96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14:paraId="6C10BDD8">
            <w:pPr>
              <w:spacing w:line="480" w:lineRule="exact"/>
              <w:jc w:val="center"/>
              <w:rPr>
                <w:rFonts w:ascii="仿宋" w:hAnsi="仿宋" w:eastAsia="仿宋" w:cs="仿宋"/>
                <w:color w:val="000000"/>
                <w:spacing w:val="-12"/>
                <w:szCs w:val="21"/>
                <w:lang w:bidi="en-US"/>
              </w:rPr>
            </w:pPr>
          </w:p>
        </w:tc>
        <w:tc>
          <w:tcPr>
            <w:tcW w:w="4260" w:type="pct"/>
            <w:vAlign w:val="center"/>
          </w:tcPr>
          <w:p w14:paraId="595009D8">
            <w:pPr>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合理选择与应用人工智能平台和技术，创设教学资源与环境，鼓励智能化、创造性和沉浸式的施教形式，强调自主、协作、探究的学习，充分调动学生积极性、主动性和创造性。</w:t>
            </w:r>
          </w:p>
        </w:tc>
      </w:tr>
      <w:tr w14:paraId="697E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Align w:val="center"/>
          </w:tcPr>
          <w:p w14:paraId="1EA28DC1">
            <w:pPr>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bidi="en-US"/>
              </w:rPr>
              <w:t>考核评价</w:t>
            </w:r>
          </w:p>
        </w:tc>
        <w:tc>
          <w:tcPr>
            <w:tcW w:w="4260" w:type="pct"/>
            <w:vAlign w:val="center"/>
          </w:tcPr>
          <w:p w14:paraId="5D24D7FD">
            <w:pPr>
              <w:spacing w:line="480" w:lineRule="exact"/>
              <w:rPr>
                <w:rFonts w:ascii="仿宋" w:hAnsi="仿宋" w:eastAsia="仿宋" w:cs="仿宋"/>
                <w:color w:val="000000"/>
                <w:spacing w:val="-12"/>
                <w:szCs w:val="21"/>
                <w:lang w:bidi="en-US"/>
              </w:rPr>
            </w:pPr>
            <w:r>
              <w:rPr>
                <w:rFonts w:hint="eastAsia" w:ascii="仿宋" w:hAnsi="仿宋" w:eastAsia="仿宋" w:cs="仿宋"/>
                <w:color w:val="000000"/>
                <w:spacing w:val="-12"/>
                <w:szCs w:val="21"/>
                <w:lang w:bidi="en-US"/>
              </w:rPr>
              <w:t>有效融入人工智能技术，评价方法和主体多元，过程性评价和终结性评价相结合，</w:t>
            </w:r>
            <w:r>
              <w:rPr>
                <w:rFonts w:ascii="仿宋" w:hAnsi="仿宋" w:eastAsia="仿宋" w:cs="仿宋"/>
                <w:color w:val="000000"/>
                <w:spacing w:val="-12"/>
                <w:szCs w:val="21"/>
                <w:lang w:bidi="en-US"/>
              </w:rPr>
              <w:t>兼顾教育教学过程性评价和学生发展性评价，</w:t>
            </w:r>
            <w:r>
              <w:rPr>
                <w:rFonts w:hint="eastAsia" w:ascii="仿宋" w:hAnsi="仿宋" w:eastAsia="仿宋" w:cs="仿宋"/>
                <w:color w:val="000000"/>
                <w:spacing w:val="-12"/>
                <w:szCs w:val="21"/>
                <w:lang w:bidi="en-US"/>
              </w:rPr>
              <w:t>学生知识、能力和思维发展得到合理有效评价。</w:t>
            </w:r>
          </w:p>
        </w:tc>
      </w:tr>
      <w:tr w14:paraId="4FE7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Align w:val="center"/>
          </w:tcPr>
          <w:p w14:paraId="451FC74F">
            <w:pPr>
              <w:spacing w:line="480" w:lineRule="exact"/>
              <w:jc w:val="center"/>
              <w:rPr>
                <w:rFonts w:ascii="仿宋" w:hAnsi="仿宋" w:eastAsia="仿宋" w:cs="仿宋"/>
                <w:b/>
                <w:bCs/>
                <w:color w:val="000000"/>
                <w:spacing w:val="-12"/>
                <w:szCs w:val="21"/>
                <w:lang w:eastAsia="en-US" w:bidi="en-US"/>
              </w:rPr>
            </w:pPr>
            <w:r>
              <w:rPr>
                <w:rFonts w:hint="eastAsia" w:ascii="仿宋" w:hAnsi="仿宋" w:eastAsia="仿宋" w:cs="仿宋"/>
                <w:b/>
                <w:bCs/>
                <w:color w:val="000000"/>
                <w:spacing w:val="-12"/>
                <w:szCs w:val="21"/>
                <w:lang w:eastAsia="en-US" w:bidi="en-US"/>
              </w:rPr>
              <w:t>设计创新</w:t>
            </w:r>
          </w:p>
        </w:tc>
        <w:tc>
          <w:tcPr>
            <w:tcW w:w="4260" w:type="pct"/>
            <w:vAlign w:val="center"/>
          </w:tcPr>
          <w:p w14:paraId="6F2DECED">
            <w:pPr>
              <w:spacing w:line="480" w:lineRule="exact"/>
              <w:rPr>
                <w:rFonts w:ascii="仿宋" w:hAnsi="仿宋" w:eastAsia="仿宋" w:cs="仿宋"/>
                <w:color w:val="000000"/>
                <w:spacing w:val="-12"/>
                <w:szCs w:val="21"/>
                <w:lang w:bidi="en-US"/>
              </w:rPr>
            </w:pPr>
            <w:bookmarkStart w:id="0" w:name="_Hlk152943658"/>
            <w:r>
              <w:rPr>
                <w:rFonts w:hint="eastAsia" w:ascii="仿宋" w:hAnsi="仿宋" w:eastAsia="仿宋" w:cs="仿宋"/>
                <w:color w:val="000000"/>
                <w:spacing w:val="-12"/>
                <w:szCs w:val="21"/>
                <w:lang w:bidi="en-US"/>
              </w:rPr>
              <w:t>课程整体设计</w:t>
            </w:r>
            <w:bookmarkEnd w:id="0"/>
            <w:r>
              <w:rPr>
                <w:rFonts w:hint="eastAsia" w:ascii="仿宋" w:hAnsi="仿宋" w:eastAsia="仿宋" w:cs="仿宋"/>
                <w:color w:val="000000"/>
                <w:spacing w:val="-12"/>
                <w:szCs w:val="21"/>
                <w:lang w:bidi="en-US"/>
              </w:rPr>
              <w:t>在创新探索人工智能助力教育教学模式变革、教学及学习范式创新上做到迭代更新；教学方法和智能工具选择适当、应用合理，结合人工智能的教学设计有突出的特色。</w:t>
            </w:r>
          </w:p>
        </w:tc>
      </w:tr>
    </w:tbl>
    <w:p w14:paraId="71F7459E">
      <w:pPr>
        <w:pStyle w:val="11"/>
        <w:ind w:firstLine="0" w:firstLineChars="0"/>
        <w:rPr>
          <w:color w:val="000000"/>
        </w:rPr>
      </w:pPr>
    </w:p>
    <w:p w14:paraId="3636BDA1">
      <w:pPr>
        <w:rPr>
          <w:rFonts w:ascii="宋体" w:hAnsi="宋体" w:eastAsia="宋体"/>
          <w:bCs/>
          <w:color w:val="000000"/>
          <w:sz w:val="28"/>
          <w:szCs w:val="28"/>
        </w:rPr>
      </w:pPr>
    </w:p>
    <w:p w14:paraId="6D158D72">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DF"/>
    <w:rsid w:val="00717FFE"/>
    <w:rsid w:val="007352DF"/>
    <w:rsid w:val="00FA0DAE"/>
    <w:rsid w:val="760C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1"/>
    <w:qFormat/>
    <w:uiPriority w:val="9"/>
    <w:pPr>
      <w:keepNext/>
      <w:keepLines/>
      <w:spacing w:before="480" w:after="80" w:line="278" w:lineRule="auto"/>
      <w:jc w:val="left"/>
      <w:outlineLvl w:val="0"/>
    </w:pPr>
    <w:rPr>
      <w:rFonts w:ascii="等线 Light" w:hAnsi="等线 Light" w:eastAsia="等线 Light"/>
      <w:color w:val="2F5496"/>
      <w:sz w:val="48"/>
      <w:szCs w:val="48"/>
      <w14:ligatures w14:val="standardContextual"/>
    </w:rPr>
  </w:style>
  <w:style w:type="paragraph" w:styleId="3">
    <w:name w:val="heading 2"/>
    <w:basedOn w:val="1"/>
    <w:next w:val="1"/>
    <w:link w:val="22"/>
    <w:qFormat/>
    <w:uiPriority w:val="9"/>
    <w:pPr>
      <w:keepNext/>
      <w:keepLines/>
      <w:spacing w:before="160" w:after="80" w:line="278" w:lineRule="auto"/>
      <w:jc w:val="left"/>
      <w:outlineLvl w:val="1"/>
    </w:pPr>
    <w:rPr>
      <w:rFonts w:ascii="等线 Light" w:hAnsi="等线 Light" w:eastAsia="等线 Light"/>
      <w:color w:val="2F5496"/>
      <w:sz w:val="40"/>
      <w:szCs w:val="40"/>
      <w14:ligatures w14:val="standardContextual"/>
    </w:rPr>
  </w:style>
  <w:style w:type="paragraph" w:styleId="4">
    <w:name w:val="heading 3"/>
    <w:basedOn w:val="1"/>
    <w:next w:val="1"/>
    <w:link w:val="23"/>
    <w:qFormat/>
    <w:uiPriority w:val="9"/>
    <w:pPr>
      <w:keepNext/>
      <w:keepLines/>
      <w:spacing w:before="160" w:after="80" w:line="278" w:lineRule="auto"/>
      <w:jc w:val="left"/>
      <w:outlineLvl w:val="2"/>
    </w:pPr>
    <w:rPr>
      <w:rFonts w:ascii="等线 Light" w:hAnsi="等线 Light" w:eastAsia="等线 Light"/>
      <w:color w:val="2F5496"/>
      <w:sz w:val="32"/>
      <w:szCs w:val="32"/>
      <w14:ligatures w14:val="standardContextual"/>
    </w:rPr>
  </w:style>
  <w:style w:type="paragraph" w:styleId="5">
    <w:name w:val="heading 4"/>
    <w:basedOn w:val="1"/>
    <w:next w:val="1"/>
    <w:link w:val="24"/>
    <w:qFormat/>
    <w:uiPriority w:val="9"/>
    <w:pPr>
      <w:keepNext/>
      <w:keepLines/>
      <w:spacing w:before="80" w:after="40" w:line="278" w:lineRule="auto"/>
      <w:jc w:val="left"/>
      <w:outlineLvl w:val="3"/>
    </w:pPr>
    <w:rPr>
      <w:color w:val="2F5496"/>
      <w:sz w:val="28"/>
      <w:szCs w:val="28"/>
      <w14:ligatures w14:val="standardContextual"/>
    </w:rPr>
  </w:style>
  <w:style w:type="paragraph" w:styleId="6">
    <w:name w:val="heading 5"/>
    <w:basedOn w:val="1"/>
    <w:next w:val="1"/>
    <w:link w:val="25"/>
    <w:qFormat/>
    <w:uiPriority w:val="9"/>
    <w:pPr>
      <w:keepNext/>
      <w:keepLines/>
      <w:spacing w:before="80" w:after="40" w:line="278" w:lineRule="auto"/>
      <w:jc w:val="left"/>
      <w:outlineLvl w:val="4"/>
    </w:pPr>
    <w:rPr>
      <w:color w:val="2F5496"/>
      <w:sz w:val="24"/>
      <w:szCs w:val="24"/>
      <w14:ligatures w14:val="standardContextual"/>
    </w:rPr>
  </w:style>
  <w:style w:type="paragraph" w:styleId="7">
    <w:name w:val="heading 6"/>
    <w:basedOn w:val="1"/>
    <w:next w:val="1"/>
    <w:link w:val="26"/>
    <w:qFormat/>
    <w:uiPriority w:val="9"/>
    <w:pPr>
      <w:keepNext/>
      <w:keepLines/>
      <w:spacing w:before="40" w:line="278" w:lineRule="auto"/>
      <w:jc w:val="left"/>
      <w:outlineLvl w:val="5"/>
    </w:pPr>
    <w:rPr>
      <w:b/>
      <w:bCs/>
      <w:color w:val="2F5496"/>
      <w:sz w:val="22"/>
      <w:szCs w:val="24"/>
      <w14:ligatures w14:val="standardContextual"/>
    </w:rPr>
  </w:style>
  <w:style w:type="paragraph" w:styleId="8">
    <w:name w:val="heading 7"/>
    <w:basedOn w:val="1"/>
    <w:next w:val="1"/>
    <w:link w:val="27"/>
    <w:qFormat/>
    <w:uiPriority w:val="9"/>
    <w:pPr>
      <w:keepNext/>
      <w:keepLines/>
      <w:spacing w:before="40" w:line="278" w:lineRule="auto"/>
      <w:jc w:val="left"/>
      <w:outlineLvl w:val="6"/>
    </w:pPr>
    <w:rPr>
      <w:b/>
      <w:bCs/>
      <w:color w:val="595959"/>
      <w:sz w:val="22"/>
      <w:szCs w:val="24"/>
      <w14:ligatures w14:val="standardContextual"/>
    </w:rPr>
  </w:style>
  <w:style w:type="paragraph" w:styleId="9">
    <w:name w:val="heading 8"/>
    <w:basedOn w:val="1"/>
    <w:next w:val="1"/>
    <w:link w:val="28"/>
    <w:qFormat/>
    <w:uiPriority w:val="9"/>
    <w:pPr>
      <w:keepNext/>
      <w:keepLines/>
      <w:spacing w:line="278" w:lineRule="auto"/>
      <w:jc w:val="left"/>
      <w:outlineLvl w:val="7"/>
    </w:pPr>
    <w:rPr>
      <w:color w:val="595959"/>
      <w:sz w:val="22"/>
      <w:szCs w:val="24"/>
      <w14:ligatures w14:val="standardContextual"/>
    </w:rPr>
  </w:style>
  <w:style w:type="paragraph" w:styleId="10">
    <w:name w:val="heading 9"/>
    <w:basedOn w:val="1"/>
    <w:next w:val="1"/>
    <w:link w:val="29"/>
    <w:qFormat/>
    <w:uiPriority w:val="9"/>
    <w:pPr>
      <w:keepNext/>
      <w:keepLines/>
      <w:spacing w:line="278" w:lineRule="auto"/>
      <w:jc w:val="left"/>
      <w:outlineLvl w:val="8"/>
    </w:pPr>
    <w:rPr>
      <w:rFonts w:eastAsia="等线 Light"/>
      <w:color w:val="595959"/>
      <w:sz w:val="22"/>
      <w:szCs w:val="24"/>
      <w14:ligatures w14:val="standardContextual"/>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ind w:firstLine="420" w:firstLineChars="200"/>
      <w:jc w:val="left"/>
    </w:pPr>
    <w:rPr>
      <w:rFonts w:ascii="宋体" w:hAnsi="宋体" w:eastAsia="宋体"/>
      <w:kern w:val="0"/>
      <w:sz w:val="24"/>
      <w:szCs w:val="24"/>
    </w:rPr>
  </w:style>
  <w:style w:type="paragraph" w:styleId="12">
    <w:name w:val="annotation text"/>
    <w:basedOn w:val="1"/>
    <w:link w:val="42"/>
    <w:qFormat/>
    <w:uiPriority w:val="99"/>
    <w:pPr>
      <w:jc w:val="left"/>
    </w:pPr>
  </w:style>
  <w:style w:type="paragraph" w:styleId="13">
    <w:name w:val="footer"/>
    <w:basedOn w:val="1"/>
    <w:link w:val="40"/>
    <w:qFormat/>
    <w:uiPriority w:val="99"/>
    <w:pPr>
      <w:tabs>
        <w:tab w:val="center" w:pos="4153"/>
        <w:tab w:val="right" w:pos="8306"/>
      </w:tabs>
      <w:snapToGrid w:val="0"/>
      <w:jc w:val="left"/>
    </w:pPr>
    <w:rPr>
      <w:sz w:val="18"/>
      <w:szCs w:val="18"/>
    </w:rPr>
  </w:style>
  <w:style w:type="paragraph" w:styleId="14">
    <w:name w:val="header"/>
    <w:basedOn w:val="1"/>
    <w:link w:val="39"/>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line="278" w:lineRule="auto"/>
      <w:jc w:val="center"/>
    </w:pPr>
    <w:rPr>
      <w:rFonts w:ascii="等线 Light" w:hAnsi="等线 Light" w:eastAsia="等线 Light"/>
      <w:color w:val="595959"/>
      <w:spacing w:val="15"/>
      <w:sz w:val="28"/>
      <w:szCs w:val="28"/>
      <w14:ligatures w14:val="standardContextual"/>
    </w:rPr>
  </w:style>
  <w:style w:type="paragraph" w:styleId="16">
    <w:name w:val="Title"/>
    <w:basedOn w:val="1"/>
    <w:next w:val="1"/>
    <w:link w:val="30"/>
    <w:qFormat/>
    <w:uiPriority w:val="10"/>
    <w:pPr>
      <w:spacing w:after="80"/>
      <w:contextualSpacing/>
      <w:jc w:val="center"/>
    </w:pPr>
    <w:rPr>
      <w:rFonts w:ascii="等线 Light" w:hAnsi="等线 Light" w:eastAsia="等线 Light"/>
      <w:spacing w:val="-10"/>
      <w:kern w:val="28"/>
      <w:sz w:val="56"/>
      <w:szCs w:val="56"/>
      <w14:ligatures w14:val="standardContextual"/>
    </w:rPr>
  </w:style>
  <w:style w:type="paragraph" w:styleId="17">
    <w:name w:val="annotation subject"/>
    <w:basedOn w:val="12"/>
    <w:next w:val="12"/>
    <w:link w:val="43"/>
    <w:qFormat/>
    <w:uiPriority w:val="99"/>
    <w:rPr>
      <w:b/>
      <w:bCs/>
    </w:rPr>
  </w:style>
  <w:style w:type="character" w:styleId="20">
    <w:name w:val="annotation reference"/>
    <w:basedOn w:val="19"/>
    <w:qFormat/>
    <w:uiPriority w:val="99"/>
    <w:rPr>
      <w:sz w:val="21"/>
      <w:szCs w:val="21"/>
    </w:rPr>
  </w:style>
  <w:style w:type="character" w:customStyle="1" w:styleId="21">
    <w:name w:val="标题 1 字符"/>
    <w:basedOn w:val="19"/>
    <w:link w:val="2"/>
    <w:qFormat/>
    <w:uiPriority w:val="9"/>
    <w:rPr>
      <w:rFonts w:ascii="等线 Light" w:hAnsi="等线 Light" w:eastAsia="等线 Light" w:cs="宋体"/>
      <w:color w:val="2F5496"/>
      <w:sz w:val="48"/>
      <w:szCs w:val="48"/>
    </w:rPr>
  </w:style>
  <w:style w:type="character" w:customStyle="1" w:styleId="22">
    <w:name w:val="标题 2 字符"/>
    <w:basedOn w:val="19"/>
    <w:link w:val="3"/>
    <w:qFormat/>
    <w:uiPriority w:val="9"/>
    <w:rPr>
      <w:rFonts w:ascii="等线 Light" w:hAnsi="等线 Light" w:eastAsia="等线 Light" w:cs="宋体"/>
      <w:color w:val="2F5496"/>
      <w:sz w:val="40"/>
      <w:szCs w:val="40"/>
    </w:rPr>
  </w:style>
  <w:style w:type="character" w:customStyle="1" w:styleId="23">
    <w:name w:val="标题 3 字符"/>
    <w:basedOn w:val="19"/>
    <w:link w:val="4"/>
    <w:qFormat/>
    <w:uiPriority w:val="9"/>
    <w:rPr>
      <w:rFonts w:ascii="等线 Light" w:hAnsi="等线 Light" w:eastAsia="等线 Light" w:cs="宋体"/>
      <w:color w:val="2F5496"/>
      <w:sz w:val="32"/>
      <w:szCs w:val="32"/>
    </w:rPr>
  </w:style>
  <w:style w:type="character" w:customStyle="1" w:styleId="24">
    <w:name w:val="标题 4 字符"/>
    <w:basedOn w:val="19"/>
    <w:link w:val="5"/>
    <w:qFormat/>
    <w:uiPriority w:val="9"/>
    <w:rPr>
      <w:rFonts w:cs="宋体"/>
      <w:color w:val="2F5496"/>
      <w:sz w:val="28"/>
      <w:szCs w:val="28"/>
    </w:rPr>
  </w:style>
  <w:style w:type="character" w:customStyle="1" w:styleId="25">
    <w:name w:val="标题 5 字符"/>
    <w:basedOn w:val="19"/>
    <w:link w:val="6"/>
    <w:qFormat/>
    <w:uiPriority w:val="9"/>
    <w:rPr>
      <w:rFonts w:cs="宋体"/>
      <w:color w:val="2F5496"/>
      <w:sz w:val="24"/>
    </w:rPr>
  </w:style>
  <w:style w:type="character" w:customStyle="1" w:styleId="26">
    <w:name w:val="标题 6 字符"/>
    <w:basedOn w:val="19"/>
    <w:link w:val="7"/>
    <w:qFormat/>
    <w:uiPriority w:val="9"/>
    <w:rPr>
      <w:rFonts w:cs="宋体"/>
      <w:b/>
      <w:bCs/>
      <w:color w:val="2F5496"/>
    </w:rPr>
  </w:style>
  <w:style w:type="character" w:customStyle="1" w:styleId="27">
    <w:name w:val="标题 7 字符"/>
    <w:basedOn w:val="19"/>
    <w:link w:val="8"/>
    <w:qFormat/>
    <w:uiPriority w:val="9"/>
    <w:rPr>
      <w:rFonts w:cs="宋体"/>
      <w:b/>
      <w:bCs/>
      <w:color w:val="595959"/>
    </w:rPr>
  </w:style>
  <w:style w:type="character" w:customStyle="1" w:styleId="28">
    <w:name w:val="标题 8 字符"/>
    <w:basedOn w:val="19"/>
    <w:link w:val="9"/>
    <w:qFormat/>
    <w:uiPriority w:val="9"/>
    <w:rPr>
      <w:rFonts w:cs="宋体"/>
      <w:color w:val="595959"/>
    </w:rPr>
  </w:style>
  <w:style w:type="character" w:customStyle="1" w:styleId="29">
    <w:name w:val="标题 9 字符"/>
    <w:basedOn w:val="19"/>
    <w:link w:val="10"/>
    <w:qFormat/>
    <w:uiPriority w:val="9"/>
    <w:rPr>
      <w:rFonts w:eastAsia="等线 Light" w:cs="宋体"/>
      <w:color w:val="595959"/>
    </w:rPr>
  </w:style>
  <w:style w:type="character" w:customStyle="1" w:styleId="30">
    <w:name w:val="标题 字符"/>
    <w:basedOn w:val="19"/>
    <w:link w:val="16"/>
    <w:qFormat/>
    <w:uiPriority w:val="10"/>
    <w:rPr>
      <w:rFonts w:ascii="等线 Light" w:hAnsi="等线 Light" w:eastAsia="等线 Light" w:cs="宋体"/>
      <w:spacing w:val="-10"/>
      <w:kern w:val="28"/>
      <w:sz w:val="56"/>
      <w:szCs w:val="56"/>
    </w:rPr>
  </w:style>
  <w:style w:type="character" w:customStyle="1" w:styleId="31">
    <w:name w:val="副标题 字符"/>
    <w:basedOn w:val="19"/>
    <w:link w:val="15"/>
    <w:qFormat/>
    <w:uiPriority w:val="11"/>
    <w:rPr>
      <w:rFonts w:ascii="等线 Light" w:hAnsi="等线 Light" w:eastAsia="等线 Light" w:cs="宋体"/>
      <w:color w:val="595959"/>
      <w:spacing w:val="15"/>
      <w:sz w:val="28"/>
      <w:szCs w:val="28"/>
    </w:rPr>
  </w:style>
  <w:style w:type="paragraph" w:styleId="32">
    <w:name w:val="Quote"/>
    <w:basedOn w:val="1"/>
    <w:next w:val="1"/>
    <w:link w:val="33"/>
    <w:qFormat/>
    <w:uiPriority w:val="29"/>
    <w:pPr>
      <w:spacing w:before="160" w:after="160" w:line="278" w:lineRule="auto"/>
      <w:jc w:val="center"/>
    </w:pPr>
    <w:rPr>
      <w:i/>
      <w:iCs/>
      <w:color w:val="404040"/>
      <w:sz w:val="22"/>
      <w:szCs w:val="24"/>
      <w14:ligatures w14:val="standardContextual"/>
    </w:rPr>
  </w:style>
  <w:style w:type="character" w:customStyle="1" w:styleId="33">
    <w:name w:val="引用 字符"/>
    <w:basedOn w:val="19"/>
    <w:link w:val="32"/>
    <w:qFormat/>
    <w:uiPriority w:val="29"/>
    <w:rPr>
      <w:i/>
      <w:iCs/>
      <w:color w:val="404040"/>
    </w:rPr>
  </w:style>
  <w:style w:type="paragraph" w:styleId="34">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5">
    <w:name w:val="明显强调1"/>
    <w:basedOn w:val="19"/>
    <w:qFormat/>
    <w:uiPriority w:val="21"/>
    <w:rPr>
      <w:i/>
      <w:iCs/>
      <w:color w:val="2F5496"/>
    </w:rPr>
  </w:style>
  <w:style w:type="paragraph" w:styleId="36">
    <w:name w:val="Intense Quote"/>
    <w:basedOn w:val="1"/>
    <w:next w:val="1"/>
    <w:link w:val="37"/>
    <w:qFormat/>
    <w:uiPriority w:val="30"/>
    <w:pPr>
      <w:pBdr>
        <w:top w:val="single" w:color="2F5496" w:sz="4" w:space="10"/>
        <w:bottom w:val="single" w:color="2F5496" w:sz="4" w:space="10"/>
      </w:pBdr>
      <w:spacing w:before="360" w:after="360" w:line="278" w:lineRule="auto"/>
      <w:ind w:left="864" w:right="864"/>
      <w:jc w:val="center"/>
    </w:pPr>
    <w:rPr>
      <w:i/>
      <w:iCs/>
      <w:color w:val="2F5496"/>
      <w:sz w:val="22"/>
      <w:szCs w:val="24"/>
      <w14:ligatures w14:val="standardContextual"/>
    </w:rPr>
  </w:style>
  <w:style w:type="character" w:customStyle="1" w:styleId="37">
    <w:name w:val="明显引用 字符"/>
    <w:basedOn w:val="19"/>
    <w:link w:val="36"/>
    <w:qFormat/>
    <w:uiPriority w:val="30"/>
    <w:rPr>
      <w:i/>
      <w:iCs/>
      <w:color w:val="2F5496"/>
    </w:rPr>
  </w:style>
  <w:style w:type="character" w:customStyle="1" w:styleId="38">
    <w:name w:val="明显参考1"/>
    <w:basedOn w:val="19"/>
    <w:qFormat/>
    <w:uiPriority w:val="32"/>
    <w:rPr>
      <w:b/>
      <w:bCs/>
      <w:smallCaps/>
      <w:color w:val="2F5496"/>
      <w:spacing w:val="5"/>
    </w:rPr>
  </w:style>
  <w:style w:type="character" w:customStyle="1" w:styleId="39">
    <w:name w:val="页眉 字符"/>
    <w:basedOn w:val="19"/>
    <w:link w:val="14"/>
    <w:qFormat/>
    <w:uiPriority w:val="99"/>
    <w:rPr>
      <w:rFonts w:ascii="等线" w:hAnsi="等线" w:eastAsia="等线" w:cs="宋体"/>
      <w:kern w:val="2"/>
      <w:sz w:val="18"/>
      <w:szCs w:val="18"/>
    </w:rPr>
  </w:style>
  <w:style w:type="character" w:customStyle="1" w:styleId="40">
    <w:name w:val="页脚 字符"/>
    <w:basedOn w:val="19"/>
    <w:link w:val="13"/>
    <w:qFormat/>
    <w:uiPriority w:val="99"/>
    <w:rPr>
      <w:rFonts w:ascii="等线" w:hAnsi="等线" w:eastAsia="等线" w:cs="宋体"/>
      <w:kern w:val="2"/>
      <w:sz w:val="18"/>
      <w:szCs w:val="18"/>
    </w:rPr>
  </w:style>
  <w:style w:type="paragraph" w:customStyle="1" w:styleId="41">
    <w:name w:val="Revision"/>
    <w:qFormat/>
    <w:uiPriority w:val="99"/>
    <w:rPr>
      <w:rFonts w:ascii="等线" w:hAnsi="等线" w:eastAsia="等线" w:cs="宋体"/>
      <w:kern w:val="2"/>
      <w:sz w:val="21"/>
      <w:szCs w:val="22"/>
      <w:lang w:val="en-US" w:eastAsia="zh-CN" w:bidi="ar-SA"/>
    </w:rPr>
  </w:style>
  <w:style w:type="character" w:customStyle="1" w:styleId="42">
    <w:name w:val="批注文字 字符"/>
    <w:basedOn w:val="19"/>
    <w:link w:val="12"/>
    <w:qFormat/>
    <w:uiPriority w:val="99"/>
    <w:rPr>
      <w:rFonts w:ascii="等线" w:hAnsi="等线" w:eastAsia="等线" w:cs="宋体"/>
      <w:kern w:val="2"/>
      <w:sz w:val="21"/>
      <w:szCs w:val="22"/>
    </w:rPr>
  </w:style>
  <w:style w:type="character" w:customStyle="1" w:styleId="43">
    <w:name w:val="批注主题 字符"/>
    <w:basedOn w:val="42"/>
    <w:link w:val="17"/>
    <w:qFormat/>
    <w:uiPriority w:val="99"/>
    <w:rPr>
      <w:rFonts w:ascii="等线" w:hAnsi="等线" w:eastAsia="等线" w:cs="宋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AA539-5759-4C37-AEE4-6C6D1C611357}">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3</Pages>
  <Words>1958</Words>
  <Characters>1966</Characters>
  <Lines>14</Lines>
  <Paragraphs>4</Paragraphs>
  <TotalTime>1</TotalTime>
  <ScaleCrop>false</ScaleCrop>
  <LinksUpToDate>false</LinksUpToDate>
  <CharactersWithSpaces>1966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2025-03-07T07:51:00Z</dcterms:created>
  <dc:creator>榕 黄</dc:creator>
  <cp:lastModifiedBy>木南子</cp:lastModifiedBy>
  <dcterms:modified xsi:type="dcterms:W3CDTF">2025-03-14T08:39:59Z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eyJoZGlkIjoiZjg3M2RkMTM4YjcwOWU5YmIzMjgxNzgzNzc3MjI0Y2IiLCJ1c2VySWQiOiI3NTkxOTYyOTAifQ==</vt:lpwstr>
  </property>
  <property fmtid="{D5CDD505-2E9C-101B-9397-08002B2CF9AE}" pid="3" name="KSOProductBuildVer">
    <vt:lpwstr>2052-12.1.0.20305</vt:lpwstr>
  </property>
  <property fmtid="{D5CDD505-2E9C-101B-9397-08002B2CF9AE}" pid="4" name="ICV">
    <vt:lpwstr>c0ee0875dd8f4ef1af89cc34ef83a67d_23</vt:lpwstr>
  </property>
</Properties>
</file>